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77777777"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9264" behindDoc="1" locked="0" layoutInCell="1" allowOverlap="1" wp14:anchorId="1E137005" wp14:editId="6ABD2277">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497A0556" w14:textId="77777777" w:rsidR="003E4CCB" w:rsidRPr="00347388" w:rsidRDefault="003E4CCB" w:rsidP="003E4CCB">
      <w:pPr>
        <w:rPr>
          <w:rFonts w:cs="Arial"/>
          <w:b/>
          <w:smallCaps/>
          <w:sz w:val="32"/>
          <w:lang w:eastAsia="cs-CZ"/>
        </w:rPr>
      </w:pP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77777777"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6E72A7F4" w14:textId="77777777" w:rsidR="003E4CCB" w:rsidRPr="00347388" w:rsidRDefault="003E4CCB" w:rsidP="003E4CCB">
      <w:pPr>
        <w:rPr>
          <w:rFonts w:cs="Arial"/>
          <w:b/>
          <w:sz w:val="28"/>
          <w:lang w:eastAsia="cs-CZ"/>
        </w:rPr>
      </w:pPr>
    </w:p>
    <w:p w14:paraId="3FA22F8E" w14:textId="77777777" w:rsidR="003E4CCB" w:rsidRPr="00347388" w:rsidRDefault="003E4CCB" w:rsidP="003E4CCB">
      <w:pPr>
        <w:spacing w:line="360" w:lineRule="auto"/>
        <w:rPr>
          <w:rFonts w:cs="Arial"/>
          <w:sz w:val="20"/>
          <w:lang w:eastAsia="cs-CZ"/>
        </w:rPr>
      </w:pPr>
      <w:r w:rsidRPr="00347388">
        <w:rPr>
          <w:rFonts w:cs="Arial"/>
          <w:sz w:val="20"/>
          <w:lang w:eastAsia="cs-CZ"/>
        </w:rPr>
        <w:t>Vypracoval:</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7777777"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14:paraId="17842F75" w14:textId="14DDFF0A"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Pr>
          <w:rFonts w:cs="Arial"/>
          <w:sz w:val="20"/>
          <w:lang w:eastAsia="cs-CZ"/>
        </w:rPr>
        <w:t>02</w:t>
      </w:r>
      <w:r w:rsidRPr="00347388">
        <w:rPr>
          <w:rFonts w:cs="Arial"/>
          <w:sz w:val="20"/>
          <w:lang w:eastAsia="cs-CZ"/>
        </w:rPr>
        <w:t>.</w:t>
      </w:r>
      <w:r>
        <w:rPr>
          <w:rFonts w:cs="Arial"/>
          <w:sz w:val="20"/>
          <w:lang w:eastAsia="cs-CZ"/>
        </w:rPr>
        <w:t xml:space="preserve"> 11</w:t>
      </w:r>
      <w:r w:rsidRPr="00347388">
        <w:rPr>
          <w:rFonts w:cs="Arial"/>
          <w:sz w:val="20"/>
          <w:lang w:eastAsia="cs-CZ"/>
        </w:rPr>
        <w:t>.</w:t>
      </w:r>
      <w:r>
        <w:rPr>
          <w:rFonts w:cs="Arial"/>
          <w:sz w:val="20"/>
          <w:lang w:eastAsia="cs-CZ"/>
        </w:rPr>
        <w:t> </w:t>
      </w:r>
      <w:r w:rsidRPr="00347388">
        <w:rPr>
          <w:rFonts w:cs="Arial"/>
          <w:sz w:val="20"/>
          <w:lang w:eastAsia="cs-CZ"/>
        </w:rPr>
        <w:t>201</w:t>
      </w:r>
      <w:r>
        <w:rPr>
          <w:rFonts w:cs="Arial"/>
          <w:sz w:val="20"/>
          <w:lang w:eastAsia="cs-CZ"/>
        </w:rPr>
        <w:t>6</w:t>
      </w:r>
    </w:p>
    <w:p w14:paraId="451D69BB" w14:textId="77777777" w:rsidR="003E4CCB" w:rsidRPr="00347388" w:rsidRDefault="003E4CCB" w:rsidP="003E4CCB">
      <w:pPr>
        <w:spacing w:line="360" w:lineRule="auto"/>
        <w:rPr>
          <w:rFonts w:cs="Arial"/>
          <w:sz w:val="20"/>
          <w:lang w:eastAsia="cs-CZ"/>
        </w:rPr>
      </w:pPr>
    </w:p>
    <w:p w14:paraId="146DF6B0"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Predkladá:</w:t>
      </w:r>
    </w:p>
    <w:p w14:paraId="599D89EA" w14:textId="77777777"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14:paraId="0BC0B6E5" w14:textId="77777777"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14:paraId="7B351D58" w14:textId="561B3F4D"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Pr>
          <w:rFonts w:cs="Arial"/>
          <w:sz w:val="20"/>
          <w:lang w:eastAsia="cs-CZ"/>
        </w:rPr>
        <w:t>02</w:t>
      </w:r>
      <w:r w:rsidRPr="00347388">
        <w:rPr>
          <w:rFonts w:cs="Arial"/>
          <w:sz w:val="20"/>
          <w:lang w:eastAsia="cs-CZ"/>
        </w:rPr>
        <w:t>.</w:t>
      </w:r>
      <w:r>
        <w:rPr>
          <w:rFonts w:cs="Arial"/>
          <w:sz w:val="20"/>
          <w:lang w:eastAsia="cs-CZ"/>
        </w:rPr>
        <w:t> 11</w:t>
      </w:r>
      <w:r w:rsidRPr="00347388">
        <w:rPr>
          <w:rFonts w:cs="Arial"/>
          <w:sz w:val="20"/>
          <w:lang w:eastAsia="cs-CZ"/>
        </w:rPr>
        <w:t>.</w:t>
      </w:r>
      <w:r>
        <w:rPr>
          <w:rFonts w:cs="Arial"/>
          <w:sz w:val="20"/>
          <w:lang w:eastAsia="cs-CZ"/>
        </w:rPr>
        <w:t> </w:t>
      </w:r>
      <w:r w:rsidRPr="00347388">
        <w:rPr>
          <w:rFonts w:cs="Arial"/>
          <w:sz w:val="20"/>
          <w:lang w:eastAsia="cs-CZ"/>
        </w:rPr>
        <w:t>201</w:t>
      </w:r>
      <w:r>
        <w:rPr>
          <w:rFonts w:cs="Arial"/>
          <w:sz w:val="20"/>
          <w:lang w:eastAsia="cs-CZ"/>
        </w:rPr>
        <w:t>6</w:t>
      </w:r>
    </w:p>
    <w:p w14:paraId="3FB3B4FA" w14:textId="77777777" w:rsidR="003E4CCB" w:rsidRPr="00347388" w:rsidRDefault="003E4CCB"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5E0175AC"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Pr>
          <w:rFonts w:cs="Arial"/>
          <w:sz w:val="20"/>
          <w:lang w:eastAsia="cs-CZ"/>
        </w:rPr>
        <w:t>02</w:t>
      </w:r>
      <w:r w:rsidRPr="00347388">
        <w:rPr>
          <w:rFonts w:cs="Arial"/>
          <w:sz w:val="20"/>
          <w:lang w:eastAsia="cs-CZ"/>
        </w:rPr>
        <w:t>.</w:t>
      </w:r>
      <w:r>
        <w:rPr>
          <w:rFonts w:cs="Arial"/>
          <w:sz w:val="20"/>
          <w:lang w:eastAsia="cs-CZ"/>
        </w:rPr>
        <w:t> 11</w:t>
      </w:r>
      <w:r w:rsidRPr="00347388">
        <w:rPr>
          <w:rFonts w:cs="Arial"/>
          <w:sz w:val="20"/>
          <w:lang w:eastAsia="cs-CZ"/>
        </w:rPr>
        <w:t>.</w:t>
      </w:r>
      <w:r>
        <w:rPr>
          <w:rFonts w:cs="Arial"/>
          <w:sz w:val="20"/>
          <w:lang w:eastAsia="cs-CZ"/>
        </w:rPr>
        <w:t> </w:t>
      </w:r>
      <w:r w:rsidRPr="00347388">
        <w:rPr>
          <w:rFonts w:cs="Arial"/>
          <w:sz w:val="20"/>
          <w:lang w:eastAsia="cs-CZ"/>
        </w:rPr>
        <w:t>201</w:t>
      </w:r>
      <w:r>
        <w:rPr>
          <w:rFonts w:cs="Arial"/>
          <w:sz w:val="20"/>
          <w:lang w:eastAsia="cs-CZ"/>
        </w:rPr>
        <w:t>6</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660EC155" w:rsidR="003E4CCB" w:rsidRDefault="003E4CCB" w:rsidP="003E4CCB">
      <w:pPr>
        <w:jc w:val="center"/>
        <w:rPr>
          <w:color w:val="001D58"/>
          <w:sz w:val="60"/>
        </w:rPr>
      </w:pPr>
      <w:r w:rsidRPr="00347388">
        <w:rPr>
          <w:rFonts w:cs="Arial"/>
          <w:sz w:val="18"/>
          <w:lang w:eastAsia="cs-CZ"/>
        </w:rPr>
        <w:t xml:space="preserve">Verzia: </w:t>
      </w:r>
      <w:r>
        <w:rPr>
          <w:rFonts w:cs="Arial"/>
          <w:sz w:val="18"/>
          <w:lang w:eastAsia="cs-CZ"/>
        </w:rPr>
        <w:t>2</w:t>
      </w:r>
      <w:r w:rsidRPr="00347388">
        <w:rPr>
          <w:rFonts w:cs="Arial"/>
          <w:sz w:val="18"/>
          <w:lang w:eastAsia="cs-CZ"/>
        </w:rPr>
        <w:t>.</w:t>
      </w:r>
      <w:r>
        <w:rPr>
          <w:rFonts w:cs="Arial"/>
          <w:sz w:val="18"/>
          <w:lang w:eastAsia="cs-CZ"/>
        </w:rPr>
        <w:t>4</w:t>
      </w:r>
      <w:r w:rsidRPr="00347388">
        <w:rPr>
          <w:rFonts w:cs="Arial"/>
          <w:sz w:val="18"/>
          <w:lang w:eastAsia="cs-CZ"/>
        </w:rPr>
        <w:t xml:space="preserve">; platnosť od: </w:t>
      </w:r>
      <w:r>
        <w:rPr>
          <w:rFonts w:cs="Arial"/>
          <w:sz w:val="18"/>
          <w:lang w:eastAsia="cs-CZ"/>
        </w:rPr>
        <w:t>02</w:t>
      </w:r>
      <w:r w:rsidRPr="00347388">
        <w:rPr>
          <w:rFonts w:cs="Arial"/>
          <w:sz w:val="18"/>
          <w:lang w:eastAsia="cs-CZ"/>
        </w:rPr>
        <w:t>.</w:t>
      </w:r>
      <w:r>
        <w:rPr>
          <w:rFonts w:cs="Arial"/>
          <w:sz w:val="18"/>
          <w:lang w:eastAsia="cs-CZ"/>
        </w:rPr>
        <w:t xml:space="preserve"> 11</w:t>
      </w:r>
      <w:r w:rsidRPr="00347388">
        <w:rPr>
          <w:rFonts w:cs="Arial"/>
          <w:sz w:val="18"/>
          <w:lang w:eastAsia="cs-CZ"/>
        </w:rPr>
        <w:t>.</w:t>
      </w:r>
      <w:r>
        <w:rPr>
          <w:rFonts w:cs="Arial"/>
          <w:sz w:val="18"/>
          <w:lang w:eastAsia="cs-CZ"/>
        </w:rPr>
        <w:t> </w:t>
      </w:r>
      <w:r w:rsidRPr="00347388">
        <w:rPr>
          <w:rFonts w:cs="Arial"/>
          <w:sz w:val="18"/>
          <w:lang w:eastAsia="cs-CZ"/>
        </w:rPr>
        <w:t>201</w:t>
      </w:r>
      <w:r>
        <w:rPr>
          <w:rFonts w:cs="Arial"/>
          <w:sz w:val="18"/>
          <w:lang w:eastAsia="cs-CZ"/>
        </w:rPr>
        <w:t>6</w:t>
      </w:r>
      <w:r w:rsidRPr="00347388">
        <w:rPr>
          <w:rFonts w:cs="Arial"/>
          <w:sz w:val="18"/>
          <w:lang w:eastAsia="cs-CZ"/>
        </w:rPr>
        <w:t xml:space="preserve">, účinnosť od: </w:t>
      </w:r>
      <w:r>
        <w:rPr>
          <w:rFonts w:cs="Arial"/>
          <w:sz w:val="18"/>
          <w:lang w:eastAsia="cs-CZ"/>
        </w:rPr>
        <w:t>02</w:t>
      </w:r>
      <w:r w:rsidRPr="00347388">
        <w:rPr>
          <w:rFonts w:cs="Arial"/>
          <w:sz w:val="18"/>
          <w:lang w:eastAsia="cs-CZ"/>
        </w:rPr>
        <w:t>.</w:t>
      </w:r>
      <w:r>
        <w:rPr>
          <w:rFonts w:cs="Arial"/>
          <w:sz w:val="18"/>
          <w:lang w:eastAsia="cs-CZ"/>
        </w:rPr>
        <w:t xml:space="preserve"> 11</w:t>
      </w:r>
      <w:r w:rsidRPr="00347388">
        <w:rPr>
          <w:rFonts w:cs="Arial"/>
          <w:sz w:val="18"/>
          <w:lang w:eastAsia="cs-CZ"/>
        </w:rPr>
        <w:t>.</w:t>
      </w:r>
      <w:r>
        <w:rPr>
          <w:rFonts w:cs="Arial"/>
          <w:sz w:val="18"/>
          <w:lang w:eastAsia="cs-CZ"/>
        </w:rPr>
        <w:t> </w:t>
      </w:r>
      <w:r w:rsidRPr="00347388">
        <w:rPr>
          <w:rFonts w:cs="Arial"/>
          <w:sz w:val="18"/>
          <w:lang w:eastAsia="cs-CZ"/>
        </w:rPr>
        <w:t>201</w:t>
      </w:r>
      <w:r>
        <w:rPr>
          <w:rFonts w:cs="Arial"/>
          <w:sz w:val="18"/>
          <w:lang w:eastAsia="cs-CZ"/>
        </w:rPr>
        <w:t>6</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0" w:name="_Toc410907843"/>
    <w:p w14:paraId="18BC38E9" w14:textId="77777777"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4</w:t>
        </w:r>
        <w:r w:rsidR="00BF74B6" w:rsidRPr="00E135DC">
          <w:rPr>
            <w:rFonts w:cs="Arial"/>
            <w:noProof/>
            <w:webHidden/>
            <w:sz w:val="19"/>
            <w:szCs w:val="19"/>
          </w:rPr>
          <w:fldChar w:fldCharType="end"/>
        </w:r>
      </w:hyperlink>
    </w:p>
    <w:p w14:paraId="07E00004" w14:textId="77777777" w:rsidR="00BF74B6" w:rsidRPr="00E135DC" w:rsidRDefault="001020BC">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4</w:t>
        </w:r>
        <w:r w:rsidR="00BF74B6" w:rsidRPr="00E135DC">
          <w:rPr>
            <w:rFonts w:cs="Arial"/>
            <w:noProof/>
            <w:webHidden/>
            <w:sz w:val="19"/>
            <w:szCs w:val="19"/>
          </w:rPr>
          <w:fldChar w:fldCharType="end"/>
        </w:r>
      </w:hyperlink>
    </w:p>
    <w:p w14:paraId="376D43DD" w14:textId="77777777" w:rsidR="00BF74B6" w:rsidRPr="00E135DC" w:rsidRDefault="001020BC">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4</w:t>
        </w:r>
        <w:r w:rsidR="00BF74B6" w:rsidRPr="00E135DC">
          <w:rPr>
            <w:rFonts w:cs="Arial"/>
            <w:noProof/>
            <w:webHidden/>
            <w:sz w:val="19"/>
            <w:szCs w:val="19"/>
          </w:rPr>
          <w:fldChar w:fldCharType="end"/>
        </w:r>
      </w:hyperlink>
    </w:p>
    <w:p w14:paraId="75D147C7" w14:textId="77777777" w:rsidR="00BF74B6" w:rsidRPr="00E135DC" w:rsidRDefault="001020BC">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5</w:t>
        </w:r>
        <w:r w:rsidR="00BF74B6" w:rsidRPr="00E135DC">
          <w:rPr>
            <w:rFonts w:cs="Arial"/>
            <w:noProof/>
            <w:webHidden/>
            <w:sz w:val="19"/>
            <w:szCs w:val="19"/>
          </w:rPr>
          <w:fldChar w:fldCharType="end"/>
        </w:r>
      </w:hyperlink>
    </w:p>
    <w:p w14:paraId="78BB9CF8" w14:textId="6EAF5739" w:rsidR="00BF74B6" w:rsidRPr="00E135DC" w:rsidRDefault="001020BC">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15</w:t>
        </w:r>
        <w:r w:rsidR="00BF74B6" w:rsidRPr="00E135DC">
          <w:rPr>
            <w:rFonts w:cs="Arial"/>
            <w:noProof/>
            <w:webHidden/>
            <w:sz w:val="19"/>
            <w:szCs w:val="19"/>
          </w:rPr>
          <w:fldChar w:fldCharType="end"/>
        </w:r>
      </w:hyperlink>
    </w:p>
    <w:p w14:paraId="5081C3B7" w14:textId="57B2187F" w:rsidR="00BF74B6" w:rsidRPr="00E135DC" w:rsidRDefault="001020BC">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16</w:t>
        </w:r>
        <w:r w:rsidR="00BF74B6" w:rsidRPr="00E135DC">
          <w:rPr>
            <w:rFonts w:cs="Arial"/>
            <w:noProof/>
            <w:webHidden/>
            <w:sz w:val="19"/>
            <w:szCs w:val="19"/>
          </w:rPr>
          <w:fldChar w:fldCharType="end"/>
        </w:r>
      </w:hyperlink>
    </w:p>
    <w:p w14:paraId="1D3E136E" w14:textId="6662B2DA" w:rsidR="00BF74B6" w:rsidRPr="00E135DC" w:rsidRDefault="001020BC">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17</w:t>
        </w:r>
        <w:r w:rsidR="00BF74B6" w:rsidRPr="00E135DC">
          <w:rPr>
            <w:rFonts w:cs="Arial"/>
            <w:noProof/>
            <w:webHidden/>
            <w:sz w:val="19"/>
            <w:szCs w:val="19"/>
          </w:rPr>
          <w:fldChar w:fldCharType="end"/>
        </w:r>
      </w:hyperlink>
    </w:p>
    <w:p w14:paraId="717C3587" w14:textId="7374328E" w:rsidR="00BF74B6" w:rsidRPr="00E135DC" w:rsidRDefault="001020BC">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17</w:t>
        </w:r>
        <w:r w:rsidR="00BF74B6" w:rsidRPr="00E135DC">
          <w:rPr>
            <w:rFonts w:cs="Arial"/>
            <w:noProof/>
            <w:webHidden/>
            <w:sz w:val="19"/>
            <w:szCs w:val="19"/>
          </w:rPr>
          <w:fldChar w:fldCharType="end"/>
        </w:r>
      </w:hyperlink>
    </w:p>
    <w:p w14:paraId="451E82B0" w14:textId="4BC457DD" w:rsidR="00BF74B6" w:rsidRPr="00E135DC" w:rsidRDefault="001020BC">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17</w:t>
        </w:r>
        <w:r w:rsidR="00BF74B6" w:rsidRPr="00E135DC">
          <w:rPr>
            <w:rFonts w:cs="Arial"/>
            <w:noProof/>
            <w:webHidden/>
            <w:sz w:val="19"/>
            <w:szCs w:val="19"/>
          </w:rPr>
          <w:fldChar w:fldCharType="end"/>
        </w:r>
      </w:hyperlink>
    </w:p>
    <w:p w14:paraId="3E888383" w14:textId="466B90E0" w:rsidR="00BF74B6" w:rsidRPr="00E135DC" w:rsidRDefault="001020BC">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17</w:t>
        </w:r>
        <w:r w:rsidR="00BF74B6" w:rsidRPr="00E135DC">
          <w:rPr>
            <w:rFonts w:cs="Arial"/>
            <w:noProof/>
            <w:webHidden/>
            <w:sz w:val="19"/>
            <w:szCs w:val="19"/>
          </w:rPr>
          <w:fldChar w:fldCharType="end"/>
        </w:r>
      </w:hyperlink>
    </w:p>
    <w:p w14:paraId="162A0FCF" w14:textId="27A1C82E" w:rsidR="00BF74B6" w:rsidRPr="00E135DC" w:rsidRDefault="001020BC">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19</w:t>
        </w:r>
        <w:r w:rsidR="00BF74B6" w:rsidRPr="00E135DC">
          <w:rPr>
            <w:rFonts w:cs="Arial"/>
            <w:noProof/>
            <w:webHidden/>
            <w:sz w:val="19"/>
            <w:szCs w:val="19"/>
          </w:rPr>
          <w:fldChar w:fldCharType="end"/>
        </w:r>
      </w:hyperlink>
    </w:p>
    <w:p w14:paraId="66AD3C28" w14:textId="04894848" w:rsidR="00BF74B6" w:rsidRPr="00E135DC" w:rsidRDefault="001020BC">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22</w:t>
        </w:r>
        <w:r w:rsidR="00BF74B6" w:rsidRPr="00E135DC">
          <w:rPr>
            <w:rFonts w:cs="Arial"/>
            <w:noProof/>
            <w:webHidden/>
            <w:sz w:val="19"/>
            <w:szCs w:val="19"/>
          </w:rPr>
          <w:fldChar w:fldCharType="end"/>
        </w:r>
      </w:hyperlink>
    </w:p>
    <w:p w14:paraId="1EE9C112" w14:textId="21A6B525" w:rsidR="00BF74B6" w:rsidRPr="00E135DC" w:rsidRDefault="001020BC">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22</w:t>
        </w:r>
        <w:r w:rsidR="00BF74B6" w:rsidRPr="00E135DC">
          <w:rPr>
            <w:rFonts w:cs="Arial"/>
            <w:noProof/>
            <w:webHidden/>
            <w:sz w:val="19"/>
            <w:szCs w:val="19"/>
          </w:rPr>
          <w:fldChar w:fldCharType="end"/>
        </w:r>
      </w:hyperlink>
    </w:p>
    <w:p w14:paraId="08A090A8" w14:textId="13800EC2" w:rsidR="00BF74B6" w:rsidRPr="00E135DC" w:rsidRDefault="001020BC">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24</w:t>
        </w:r>
        <w:r w:rsidR="00BF74B6" w:rsidRPr="00E135DC">
          <w:rPr>
            <w:rFonts w:cs="Arial"/>
            <w:noProof/>
            <w:webHidden/>
            <w:sz w:val="19"/>
            <w:szCs w:val="19"/>
          </w:rPr>
          <w:fldChar w:fldCharType="end"/>
        </w:r>
      </w:hyperlink>
    </w:p>
    <w:p w14:paraId="12DA2A97" w14:textId="32C2D270" w:rsidR="00BF74B6" w:rsidRPr="00E135DC" w:rsidRDefault="001020BC">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26</w:t>
        </w:r>
        <w:r w:rsidR="00BF74B6" w:rsidRPr="00E135DC">
          <w:rPr>
            <w:rFonts w:cs="Arial"/>
            <w:noProof/>
            <w:webHidden/>
            <w:sz w:val="19"/>
            <w:szCs w:val="19"/>
          </w:rPr>
          <w:fldChar w:fldCharType="end"/>
        </w:r>
      </w:hyperlink>
    </w:p>
    <w:p w14:paraId="56A0A71D" w14:textId="770FE1BC" w:rsidR="00BF74B6" w:rsidRPr="00E135DC" w:rsidRDefault="001020BC">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27</w:t>
        </w:r>
        <w:r w:rsidR="00BF74B6" w:rsidRPr="00E135DC">
          <w:rPr>
            <w:rFonts w:cs="Arial"/>
            <w:noProof/>
            <w:webHidden/>
            <w:sz w:val="19"/>
            <w:szCs w:val="19"/>
          </w:rPr>
          <w:fldChar w:fldCharType="end"/>
        </w:r>
      </w:hyperlink>
    </w:p>
    <w:p w14:paraId="6C37EF94" w14:textId="3753DB57" w:rsidR="00BF74B6" w:rsidRPr="00E135DC" w:rsidRDefault="001020BC">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27</w:t>
        </w:r>
        <w:r w:rsidR="00BF74B6" w:rsidRPr="00E135DC">
          <w:rPr>
            <w:rFonts w:cs="Arial"/>
            <w:noProof/>
            <w:webHidden/>
            <w:sz w:val="19"/>
            <w:szCs w:val="19"/>
          </w:rPr>
          <w:fldChar w:fldCharType="end"/>
        </w:r>
      </w:hyperlink>
    </w:p>
    <w:p w14:paraId="38EEFE1F" w14:textId="27125DC4" w:rsidR="00BF74B6" w:rsidRPr="00E135DC" w:rsidRDefault="001020BC">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28</w:t>
        </w:r>
        <w:r w:rsidR="00BF74B6" w:rsidRPr="00E135DC">
          <w:rPr>
            <w:rFonts w:cs="Arial"/>
            <w:noProof/>
            <w:webHidden/>
            <w:sz w:val="19"/>
            <w:szCs w:val="19"/>
          </w:rPr>
          <w:fldChar w:fldCharType="end"/>
        </w:r>
      </w:hyperlink>
    </w:p>
    <w:p w14:paraId="4397C0C1" w14:textId="06A3F4C9" w:rsidR="00BF74B6" w:rsidRPr="00E135DC" w:rsidRDefault="001020BC">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31</w:t>
        </w:r>
        <w:r w:rsidR="00BF74B6" w:rsidRPr="00E135DC">
          <w:rPr>
            <w:rFonts w:cs="Arial"/>
            <w:noProof/>
            <w:webHidden/>
            <w:sz w:val="19"/>
            <w:szCs w:val="19"/>
          </w:rPr>
          <w:fldChar w:fldCharType="end"/>
        </w:r>
      </w:hyperlink>
    </w:p>
    <w:p w14:paraId="2FCA8F9F" w14:textId="5AF2688F" w:rsidR="00BF74B6" w:rsidRPr="00E135DC" w:rsidRDefault="001020BC">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31</w:t>
        </w:r>
        <w:r w:rsidR="00BF74B6" w:rsidRPr="00E135DC">
          <w:rPr>
            <w:rFonts w:cs="Arial"/>
            <w:noProof/>
            <w:webHidden/>
            <w:sz w:val="19"/>
            <w:szCs w:val="19"/>
          </w:rPr>
          <w:fldChar w:fldCharType="end"/>
        </w:r>
      </w:hyperlink>
    </w:p>
    <w:p w14:paraId="08F482A2" w14:textId="20A20FDE" w:rsidR="00BF74B6" w:rsidRPr="00E135DC" w:rsidRDefault="001020BC">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52</w:t>
        </w:r>
        <w:r w:rsidR="00BF74B6" w:rsidRPr="00E135DC">
          <w:rPr>
            <w:rFonts w:cs="Arial"/>
            <w:noProof/>
            <w:webHidden/>
            <w:sz w:val="19"/>
            <w:szCs w:val="19"/>
          </w:rPr>
          <w:fldChar w:fldCharType="end"/>
        </w:r>
      </w:hyperlink>
    </w:p>
    <w:p w14:paraId="27443959" w14:textId="044769EE" w:rsidR="00BF74B6" w:rsidRPr="00E135DC" w:rsidRDefault="001020BC">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53</w:t>
        </w:r>
        <w:r w:rsidR="00BF74B6" w:rsidRPr="00E135DC">
          <w:rPr>
            <w:rFonts w:cs="Arial"/>
            <w:noProof/>
            <w:webHidden/>
            <w:sz w:val="19"/>
            <w:szCs w:val="19"/>
          </w:rPr>
          <w:fldChar w:fldCharType="end"/>
        </w:r>
      </w:hyperlink>
    </w:p>
    <w:p w14:paraId="7F58E385" w14:textId="42B77E5E" w:rsidR="00BF74B6" w:rsidRPr="00E135DC" w:rsidRDefault="001020BC">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60</w:t>
        </w:r>
        <w:r w:rsidR="00BF74B6" w:rsidRPr="00E135DC">
          <w:rPr>
            <w:rFonts w:cs="Arial"/>
            <w:noProof/>
            <w:webHidden/>
            <w:sz w:val="19"/>
            <w:szCs w:val="19"/>
          </w:rPr>
          <w:fldChar w:fldCharType="end"/>
        </w:r>
      </w:hyperlink>
    </w:p>
    <w:p w14:paraId="101D5D81" w14:textId="1477AAC0" w:rsidR="00BF74B6" w:rsidRPr="00E135DC" w:rsidRDefault="001020BC">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74</w:t>
        </w:r>
        <w:r w:rsidR="00BF74B6" w:rsidRPr="00E135DC">
          <w:rPr>
            <w:rFonts w:cs="Arial"/>
            <w:noProof/>
            <w:webHidden/>
            <w:sz w:val="19"/>
            <w:szCs w:val="19"/>
          </w:rPr>
          <w:fldChar w:fldCharType="end"/>
        </w:r>
      </w:hyperlink>
    </w:p>
    <w:p w14:paraId="5198DED3" w14:textId="4DDE4FFB" w:rsidR="00BF74B6" w:rsidRPr="00E135DC" w:rsidRDefault="001020BC">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79</w:t>
        </w:r>
        <w:r w:rsidR="00BF74B6" w:rsidRPr="00E135DC">
          <w:rPr>
            <w:rFonts w:cs="Arial"/>
            <w:noProof/>
            <w:webHidden/>
            <w:sz w:val="19"/>
            <w:szCs w:val="19"/>
          </w:rPr>
          <w:fldChar w:fldCharType="end"/>
        </w:r>
      </w:hyperlink>
    </w:p>
    <w:p w14:paraId="70A930FF" w14:textId="64AF2DEB"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8240"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79</w:t>
        </w:r>
        <w:r w:rsidR="00BF74B6" w:rsidRPr="00E135DC">
          <w:rPr>
            <w:rFonts w:cs="Arial"/>
            <w:noProof/>
            <w:webHidden/>
            <w:sz w:val="19"/>
            <w:szCs w:val="19"/>
          </w:rPr>
          <w:fldChar w:fldCharType="end"/>
        </w:r>
      </w:hyperlink>
    </w:p>
    <w:p w14:paraId="25C99981" w14:textId="2F817321" w:rsidR="00BF74B6" w:rsidRPr="00E135DC" w:rsidRDefault="001020BC">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80</w:t>
        </w:r>
        <w:r w:rsidR="00BF74B6" w:rsidRPr="00E135DC">
          <w:rPr>
            <w:rFonts w:cs="Arial"/>
            <w:noProof/>
            <w:webHidden/>
            <w:sz w:val="19"/>
            <w:szCs w:val="19"/>
          </w:rPr>
          <w:fldChar w:fldCharType="end"/>
        </w:r>
      </w:hyperlink>
    </w:p>
    <w:p w14:paraId="4212AEDF" w14:textId="142A7BE7" w:rsidR="00BF74B6" w:rsidRPr="00E135DC" w:rsidRDefault="001020BC">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82</w:t>
        </w:r>
        <w:r w:rsidR="00BF74B6" w:rsidRPr="00E135DC">
          <w:rPr>
            <w:rFonts w:cs="Arial"/>
            <w:noProof/>
            <w:webHidden/>
            <w:sz w:val="19"/>
            <w:szCs w:val="19"/>
          </w:rPr>
          <w:fldChar w:fldCharType="end"/>
        </w:r>
      </w:hyperlink>
    </w:p>
    <w:p w14:paraId="61CB8603" w14:textId="3CE00843" w:rsidR="00BF74B6" w:rsidRPr="00E135DC" w:rsidRDefault="001020BC">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82</w:t>
        </w:r>
        <w:r w:rsidR="00BF74B6" w:rsidRPr="00E135DC">
          <w:rPr>
            <w:rFonts w:cs="Arial"/>
            <w:noProof/>
            <w:webHidden/>
            <w:sz w:val="19"/>
            <w:szCs w:val="19"/>
          </w:rPr>
          <w:fldChar w:fldCharType="end"/>
        </w:r>
      </w:hyperlink>
    </w:p>
    <w:p w14:paraId="57E11B99" w14:textId="79A9C6C8" w:rsidR="00BF74B6" w:rsidRPr="00E135DC" w:rsidRDefault="001020BC">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83</w:t>
        </w:r>
        <w:r w:rsidR="00BF74B6" w:rsidRPr="00E135DC">
          <w:rPr>
            <w:rFonts w:cs="Arial"/>
            <w:noProof/>
            <w:webHidden/>
            <w:sz w:val="19"/>
            <w:szCs w:val="19"/>
          </w:rPr>
          <w:fldChar w:fldCharType="end"/>
        </w:r>
      </w:hyperlink>
    </w:p>
    <w:p w14:paraId="71EC95BE" w14:textId="013BDBB3" w:rsidR="00BF74B6" w:rsidRPr="00E135DC" w:rsidRDefault="001020BC">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87</w:t>
        </w:r>
        <w:r w:rsidR="00BF74B6" w:rsidRPr="00E135DC">
          <w:rPr>
            <w:rFonts w:cs="Arial"/>
            <w:noProof/>
            <w:webHidden/>
            <w:sz w:val="19"/>
            <w:szCs w:val="19"/>
          </w:rPr>
          <w:fldChar w:fldCharType="end"/>
        </w:r>
      </w:hyperlink>
    </w:p>
    <w:p w14:paraId="1C39A013" w14:textId="70680B03" w:rsidR="00BF74B6" w:rsidRPr="00E135DC" w:rsidRDefault="001020BC">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101</w:t>
        </w:r>
        <w:r w:rsidR="00BF74B6" w:rsidRPr="00E135DC">
          <w:rPr>
            <w:rFonts w:cs="Arial"/>
            <w:noProof/>
            <w:webHidden/>
            <w:sz w:val="19"/>
            <w:szCs w:val="19"/>
          </w:rPr>
          <w:fldChar w:fldCharType="end"/>
        </w:r>
      </w:hyperlink>
    </w:p>
    <w:p w14:paraId="69BEAABA" w14:textId="627B59A4" w:rsidR="00BF74B6" w:rsidRPr="00E135DC" w:rsidRDefault="001020BC">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104</w:t>
        </w:r>
        <w:r w:rsidR="00BF74B6" w:rsidRPr="00E135DC">
          <w:rPr>
            <w:rFonts w:cs="Arial"/>
            <w:noProof/>
            <w:webHidden/>
            <w:sz w:val="19"/>
            <w:szCs w:val="19"/>
          </w:rPr>
          <w:fldChar w:fldCharType="end"/>
        </w:r>
      </w:hyperlink>
    </w:p>
    <w:p w14:paraId="52A899C1" w14:textId="312ACF02" w:rsidR="00BF74B6" w:rsidRPr="00E135DC" w:rsidRDefault="001020BC">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113</w:t>
        </w:r>
        <w:r w:rsidR="00BF74B6" w:rsidRPr="00E135DC">
          <w:rPr>
            <w:rFonts w:cs="Arial"/>
            <w:noProof/>
            <w:webHidden/>
            <w:sz w:val="19"/>
            <w:szCs w:val="19"/>
          </w:rPr>
          <w:fldChar w:fldCharType="end"/>
        </w:r>
      </w:hyperlink>
    </w:p>
    <w:p w14:paraId="291F6871" w14:textId="52543ED1" w:rsidR="00BF74B6" w:rsidRPr="00E135DC" w:rsidRDefault="001020BC">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117</w:t>
        </w:r>
        <w:r w:rsidR="00BF74B6" w:rsidRPr="00E135DC">
          <w:rPr>
            <w:rFonts w:cs="Arial"/>
            <w:noProof/>
            <w:webHidden/>
            <w:sz w:val="19"/>
            <w:szCs w:val="19"/>
          </w:rPr>
          <w:fldChar w:fldCharType="end"/>
        </w:r>
      </w:hyperlink>
    </w:p>
    <w:p w14:paraId="34F67D09" w14:textId="04FAAF85" w:rsidR="00BF74B6" w:rsidRPr="00E135DC" w:rsidRDefault="001020BC">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123</w:t>
        </w:r>
        <w:r w:rsidR="00BF74B6" w:rsidRPr="00E135DC">
          <w:rPr>
            <w:rFonts w:cs="Arial"/>
            <w:noProof/>
            <w:webHidden/>
            <w:sz w:val="19"/>
            <w:szCs w:val="19"/>
          </w:rPr>
          <w:fldChar w:fldCharType="end"/>
        </w:r>
      </w:hyperlink>
    </w:p>
    <w:p w14:paraId="6F278EC5" w14:textId="202C41C2" w:rsidR="00BF74B6" w:rsidRPr="00E135DC" w:rsidRDefault="001020BC">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124</w:t>
        </w:r>
        <w:r w:rsidR="00BF74B6" w:rsidRPr="00E135DC">
          <w:rPr>
            <w:rFonts w:cs="Arial"/>
            <w:noProof/>
            <w:webHidden/>
            <w:sz w:val="19"/>
            <w:szCs w:val="19"/>
          </w:rPr>
          <w:fldChar w:fldCharType="end"/>
        </w:r>
      </w:hyperlink>
    </w:p>
    <w:p w14:paraId="5B9D06DD" w14:textId="5CE36B0B" w:rsidR="00BF74B6" w:rsidRPr="00E135DC" w:rsidRDefault="001020BC">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126</w:t>
        </w:r>
        <w:r w:rsidR="00BF74B6" w:rsidRPr="00E135DC">
          <w:rPr>
            <w:rFonts w:cs="Arial"/>
            <w:noProof/>
            <w:webHidden/>
            <w:sz w:val="19"/>
            <w:szCs w:val="19"/>
          </w:rPr>
          <w:fldChar w:fldCharType="end"/>
        </w:r>
      </w:hyperlink>
    </w:p>
    <w:p w14:paraId="321D2A52" w14:textId="1B8E6E59" w:rsidR="00BF74B6" w:rsidRPr="00E135DC" w:rsidRDefault="001020BC">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126</w:t>
        </w:r>
        <w:r w:rsidR="00BF74B6" w:rsidRPr="00E135DC">
          <w:rPr>
            <w:rFonts w:cs="Arial"/>
            <w:noProof/>
            <w:webHidden/>
            <w:sz w:val="19"/>
            <w:szCs w:val="19"/>
          </w:rPr>
          <w:fldChar w:fldCharType="end"/>
        </w:r>
      </w:hyperlink>
    </w:p>
    <w:p w14:paraId="23ED640E" w14:textId="422C0EA5" w:rsidR="00BF74B6" w:rsidRPr="00E135DC" w:rsidRDefault="001020BC">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129</w:t>
        </w:r>
        <w:r w:rsidR="00BF74B6" w:rsidRPr="00E135DC">
          <w:rPr>
            <w:rFonts w:cs="Arial"/>
            <w:noProof/>
            <w:webHidden/>
            <w:sz w:val="19"/>
            <w:szCs w:val="19"/>
          </w:rPr>
          <w:fldChar w:fldCharType="end"/>
        </w:r>
      </w:hyperlink>
    </w:p>
    <w:p w14:paraId="652445E0" w14:textId="2F3AA044" w:rsidR="00BF74B6" w:rsidRPr="00E135DC" w:rsidRDefault="001020BC">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136</w:t>
        </w:r>
        <w:r w:rsidR="00BF74B6" w:rsidRPr="00E135DC">
          <w:rPr>
            <w:rFonts w:cs="Arial"/>
            <w:noProof/>
            <w:webHidden/>
            <w:sz w:val="19"/>
            <w:szCs w:val="19"/>
          </w:rPr>
          <w:fldChar w:fldCharType="end"/>
        </w:r>
      </w:hyperlink>
    </w:p>
    <w:p w14:paraId="3B998595" w14:textId="77231FC0" w:rsidR="00BF74B6" w:rsidRPr="00E135DC" w:rsidRDefault="001020BC">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2D4DD9">
          <w:rPr>
            <w:rFonts w:cs="Arial"/>
            <w:noProof/>
            <w:webHidden/>
            <w:sz w:val="19"/>
            <w:szCs w:val="19"/>
          </w:rPr>
          <w:t>137</w:t>
        </w:r>
        <w:r w:rsidR="00BF74B6" w:rsidRPr="00E135DC">
          <w:rPr>
            <w:rFonts w:cs="Arial"/>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1" w:name="_Toc440372853"/>
      <w:bookmarkStart w:id="2" w:name="_Toc440636364"/>
      <w:r w:rsidRPr="0073389C">
        <w:rPr>
          <w:rFonts w:ascii="Arial" w:hAnsi="Arial"/>
          <w:lang w:val="sk-SK"/>
        </w:rPr>
        <w:lastRenderedPageBreak/>
        <w:t>Úvod</w:t>
      </w:r>
      <w:bookmarkEnd w:id="0"/>
      <w:bookmarkEnd w:id="1"/>
      <w:bookmarkEnd w:id="2"/>
    </w:p>
    <w:p w14:paraId="7A55CDA3" w14:textId="77777777" w:rsidR="00AE5A8F" w:rsidRPr="0073389C" w:rsidRDefault="00AE5A8F" w:rsidP="009F56AB">
      <w:pPr>
        <w:pStyle w:val="Nadpis2"/>
        <w:spacing w:line="288" w:lineRule="auto"/>
        <w:jc w:val="both"/>
        <w:rPr>
          <w:lang w:val="sk-SK"/>
        </w:rPr>
      </w:pPr>
      <w:bookmarkStart w:id="3" w:name="_Toc410907844"/>
      <w:r w:rsidRPr="0073389C">
        <w:rPr>
          <w:lang w:val="sk-SK"/>
        </w:rPr>
        <w:t xml:space="preserve"> </w:t>
      </w:r>
      <w:bookmarkStart w:id="4" w:name="_Toc440372854"/>
      <w:bookmarkStart w:id="5"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
      <w:r w:rsidR="00A028FD" w:rsidRPr="0073389C">
        <w:rPr>
          <w:lang w:val="sk-SK"/>
        </w:rPr>
        <w:t xml:space="preserve"> pre p</w:t>
      </w:r>
      <w:r w:rsidR="001917F5" w:rsidRPr="0073389C">
        <w:rPr>
          <w:lang w:val="sk-SK"/>
        </w:rPr>
        <w:t>rijímateľa</w:t>
      </w:r>
      <w:bookmarkEnd w:id="4"/>
      <w:bookmarkEnd w:id="5"/>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2F32229D"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E60279" w:rsidRPr="0073389C">
          <w:rPr>
            <w:rFonts w:ascii="Arial" w:hAnsi="Arial" w:cs="Arial"/>
            <w:sz w:val="19"/>
            <w:szCs w:val="19"/>
            <w:lang w:val="sk-SK"/>
          </w:rPr>
          <w:t>www.opevs.eu</w:t>
        </w:r>
      </w:hyperlink>
      <w:r w:rsidR="00E60279" w:rsidRPr="0073389C">
        <w:rPr>
          <w:rFonts w:ascii="Arial" w:hAnsi="Arial" w:cs="Arial"/>
          <w:sz w:val="19"/>
          <w:szCs w:val="19"/>
          <w:lang w:val="sk-SK"/>
        </w:rPr>
        <w:t xml:space="preserve">. </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6" w:name="_Toc410907845"/>
      <w:bookmarkStart w:id="7" w:name="_Toc440372855"/>
      <w:bookmarkStart w:id="8" w:name="_Toc440636366"/>
      <w:r w:rsidRPr="0073389C">
        <w:rPr>
          <w:lang w:val="sk-SK"/>
        </w:rPr>
        <w:t>Cieľ príručky pre prijímateľa</w:t>
      </w:r>
      <w:bookmarkEnd w:id="6"/>
      <w:bookmarkEnd w:id="7"/>
      <w:bookmarkEnd w:id="8"/>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3E34347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0380B000"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14:paraId="7A55CDB6" w14:textId="77777777" w:rsidR="00AE5A8F" w:rsidRPr="0073389C" w:rsidRDefault="00AE5A8F" w:rsidP="009F56AB">
      <w:pPr>
        <w:pStyle w:val="Nadpis2"/>
        <w:spacing w:line="288" w:lineRule="auto"/>
        <w:jc w:val="both"/>
        <w:rPr>
          <w:lang w:val="sk-SK"/>
        </w:rPr>
      </w:pPr>
      <w:bookmarkStart w:id="9" w:name="_Toc410907846"/>
      <w:bookmarkStart w:id="10" w:name="_Toc440372856"/>
      <w:bookmarkStart w:id="11" w:name="_Toc440636367"/>
      <w:r w:rsidRPr="0073389C">
        <w:rPr>
          <w:lang w:val="sk-SK"/>
        </w:rPr>
        <w:t>Definícia pojmov</w:t>
      </w:r>
      <w:bookmarkEnd w:id="9"/>
      <w:bookmarkEnd w:id="10"/>
      <w:bookmarkEnd w:id="11"/>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rizovaných 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7A55CDB9" w14:textId="4F70BAAC"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Bezodkladne </w:t>
      </w:r>
      <w:r w:rsidRPr="0073389C">
        <w:rPr>
          <w:rFonts w:cs="Arial"/>
          <w:szCs w:val="19"/>
          <w:lang w:val="sk-SK"/>
        </w:rPr>
        <w:t>–</w:t>
      </w:r>
      <w:r w:rsidRPr="0073389C">
        <w:rPr>
          <w:rFonts w:cs="Arial"/>
          <w:b/>
          <w:szCs w:val="19"/>
          <w:lang w:val="sk-SK"/>
        </w:rPr>
        <w:t xml:space="preserve"> </w:t>
      </w:r>
      <w:r w:rsidR="00A60FAE" w:rsidRPr="00A60FAE">
        <w:rPr>
          <w:rFonts w:cs="Arial"/>
          <w:szCs w:val="19"/>
          <w:lang w:val="sk-SK"/>
        </w:rPr>
        <w:t>najneskôr do siedmich pracovných dní od vzniku skutočnosti rozhodnej pre počítanie lehoty; to neplatí, ak sa v konkrétnom ustanovení Zmluvy o poskytnutí NFP stanovuje odlišná lehota platná pre konkrétny prípad; pre počítanie lehôt plati</w:t>
      </w:r>
      <w:r w:rsidR="00A60FAE">
        <w:rPr>
          <w:rFonts w:cs="Arial"/>
          <w:szCs w:val="19"/>
          <w:lang w:val="sk-SK"/>
        </w:rPr>
        <w:t>a pravidlá uvedené v definícii l</w:t>
      </w:r>
      <w:r w:rsidR="00A60FAE" w:rsidRPr="00A60FAE">
        <w:rPr>
          <w:rFonts w:cs="Arial"/>
          <w:szCs w:val="19"/>
          <w:lang w:val="sk-SK"/>
        </w:rPr>
        <w:t>ehoty</w:t>
      </w:r>
      <w:r w:rsidR="001917F5" w:rsidRPr="0073389C">
        <w:rPr>
          <w:rFonts w:cs="Arial"/>
          <w:szCs w:val="19"/>
          <w:lang w:val="sk-SK"/>
        </w:rPr>
        <w:t>;</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lastRenderedPageBreak/>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6DD31DC8"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8828B3">
        <w:rPr>
          <w:rFonts w:cs="Arial"/>
          <w:szCs w:val="19"/>
          <w:lang w:val="sk-SK"/>
        </w:rPr>
        <w:t>certifikáciu výkazov výdavkov a žiadostí o platbu prijímateľov pred zaslaním Európskej komisií</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651FB95D"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6D089036"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w:t>
      </w:r>
      <w:r w:rsidR="00121A92">
        <w:rPr>
          <w:rFonts w:cs="Arial"/>
          <w:szCs w:val="19"/>
          <w:lang w:val="sk-SK"/>
        </w:rPr>
        <w:t>Z</w:t>
      </w:r>
      <w:r w:rsidRPr="0073389C">
        <w:rPr>
          <w:rFonts w:cs="Arial"/>
          <w:szCs w:val="19"/>
          <w:lang w:val="sk-SK"/>
        </w:rPr>
        <w:t xml:space="preserve">a moment, od ktorého začína plynúť lehota, </w:t>
      </w:r>
      <w:r w:rsidR="00121A92">
        <w:rPr>
          <w:rFonts w:cs="Arial"/>
          <w:szCs w:val="19"/>
          <w:lang w:val="sk-SK"/>
        </w:rPr>
        <w:t>sa</w:t>
      </w:r>
      <w:r w:rsidRPr="0073389C">
        <w:rPr>
          <w:rFonts w:cs="Arial"/>
          <w:szCs w:val="19"/>
          <w:lang w:val="sk-SK"/>
        </w:rPr>
        <w:t xml:space="preserve"> považuje deň doručenia písomnej dokumentácie príslušnému </w:t>
      </w:r>
      <w:r w:rsidRPr="0073389C">
        <w:rPr>
          <w:rFonts w:cs="Arial"/>
          <w:szCs w:val="19"/>
          <w:lang w:val="sk-SK"/>
        </w:rPr>
        <w:lastRenderedPageBreak/>
        <w:t>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BF7859">
        <w:rPr>
          <w:rFonts w:cs="Arial"/>
          <w:szCs w:val="19"/>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w:t>
      </w:r>
      <w:r w:rsidR="00C6030F" w:rsidRPr="0073389C">
        <w:rPr>
          <w:szCs w:val="19"/>
          <w:lang w:val="sk-SK"/>
        </w:rPr>
        <w:lastRenderedPageBreak/>
        <w:t xml:space="preserve">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14A2481F"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w:t>
      </w:r>
      <w:r w:rsidR="00F576F7" w:rsidRPr="0073389C">
        <w:rPr>
          <w:rFonts w:cs="Arial"/>
          <w:szCs w:val="19"/>
          <w:lang w:val="sk-SK"/>
        </w:rPr>
        <w:lastRenderedPageBreak/>
        <w:t xml:space="preserve">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Pomoc "de minimis"</w:t>
      </w:r>
      <w:r w:rsidRPr="0073389C">
        <w:rPr>
          <w:rFonts w:cs="Arial"/>
          <w:szCs w:val="19"/>
          <w:lang w:val="sk-SK"/>
        </w:rPr>
        <w:t xml:space="preserve"> - </w:t>
      </w:r>
      <w:r w:rsidR="00F576F7" w:rsidRPr="0073389C">
        <w:rPr>
          <w:rFonts w:cs="Arial"/>
          <w:szCs w:val="19"/>
          <w:lang w:val="sk-SK"/>
        </w:rPr>
        <w:t>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r w:rsidR="00EF4D5E" w:rsidRPr="0073389C">
        <w:rPr>
          <w:rFonts w:cs="Arial"/>
          <w:szCs w:val="19"/>
          <w:lang w:val="sk-SK"/>
        </w:rPr>
        <w:t>;</w:t>
      </w:r>
    </w:p>
    <w:p w14:paraId="7A55CDE6" w14:textId="03B3F5E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7A55CDE7" w14:textId="5187460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súkromná alebo verejná právnická osoba, zodpovedná za začatie alebo za začatie a implementáciu operácií. V kontexte schém štátnej pomoci a schém pomoci "de minimis"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r w:rsidRPr="0073389C">
        <w:rPr>
          <w:rFonts w:cs="Arial"/>
          <w:szCs w:val="19"/>
          <w:lang w:val="sk-SK"/>
        </w:rPr>
        <w:t>;</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0B9B4FB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EE6E0A" w:rsidRPr="006C7FDE">
        <w:rPr>
          <w:lang w:val="sk-SK"/>
        </w:rPr>
        <w:t xml:space="preserve">dokument vyplnený </w:t>
      </w:r>
      <w:r w:rsidR="00EE6E0A">
        <w:rPr>
          <w:lang w:val="sk-SK"/>
        </w:rPr>
        <w:t>r</w:t>
      </w:r>
      <w:r w:rsidR="00EE6E0A" w:rsidRPr="006C7FDE">
        <w:rPr>
          <w:lang w:val="sk-SK"/>
        </w:rPr>
        <w:t xml:space="preserve">iadiacim orgánom, </w:t>
      </w:r>
      <w:r w:rsidR="00EE6E0A">
        <w:rPr>
          <w:lang w:val="sk-SK"/>
        </w:rPr>
        <w:t>s</w:t>
      </w:r>
      <w:r w:rsidR="00EE6E0A" w:rsidRPr="006C7FDE">
        <w:rPr>
          <w:lang w:val="sk-SK"/>
        </w:rPr>
        <w:t xml:space="preserve">prostredkovateľským orgánom, platobnou jednotkou, </w:t>
      </w:r>
      <w:r w:rsidR="00EE6E0A">
        <w:rPr>
          <w:lang w:val="sk-SK"/>
        </w:rPr>
        <w:t>c</w:t>
      </w:r>
      <w:r w:rsidR="00EE6E0A" w:rsidRPr="006C7FDE">
        <w:rPr>
          <w:lang w:val="sk-SK"/>
        </w:rPr>
        <w:t xml:space="preserve">ertifikačným orgánom, </w:t>
      </w:r>
      <w:r w:rsidR="00EE6E0A">
        <w:rPr>
          <w:lang w:val="sk-SK"/>
        </w:rPr>
        <w:t>o</w:t>
      </w:r>
      <w:r w:rsidR="00EE6E0A" w:rsidRPr="006C7FDE">
        <w:rPr>
          <w:lang w:val="sk-SK"/>
        </w:rPr>
        <w:t>rgánom auditu a jeho spolupracujúcim orgánom, na ktorého základe je oficiálne zdokumentované podozrenie z nezrovnalosti alebo zistenie nezrovnalosti</w:t>
      </w:r>
      <w:r w:rsidRPr="0073389C">
        <w:rPr>
          <w:rFonts w:cs="Arial"/>
          <w:szCs w:val="19"/>
          <w:lang w:val="sk-SK"/>
        </w:rPr>
        <w:t>;</w:t>
      </w:r>
    </w:p>
    <w:p w14:paraId="7A55CDF1" w14:textId="2875E8EA"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C6734D8"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hyperlink r:id="rId16" w:history="1">
        <w:r w:rsidR="00161D13" w:rsidRPr="0073389C">
          <w:rPr>
            <w:rStyle w:val="Hypertextovprepojenie"/>
            <w:szCs w:val="19"/>
            <w:lang w:val="sk-SK"/>
          </w:rPr>
          <w:t>www.finance.gov.sk</w:t>
        </w:r>
      </w:hyperlink>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7"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601C13B4" w14:textId="77777777"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7A55CDFB" w14:textId="302CB85C" w:rsidR="00346DA0" w:rsidRPr="0073389C" w:rsidRDefault="001212D6" w:rsidP="009A78AB">
      <w:pPr>
        <w:pStyle w:val="Bulletslevel1"/>
        <w:numPr>
          <w:ilvl w:val="1"/>
          <w:numId w:val="31"/>
        </w:numPr>
        <w:spacing w:after="120" w:line="288" w:lineRule="auto"/>
        <w:ind w:left="568" w:hanging="284"/>
        <w:jc w:val="both"/>
        <w:rPr>
          <w:rFonts w:cs="Arial"/>
          <w:szCs w:val="19"/>
          <w:lang w:val="sk-SK"/>
        </w:rPr>
      </w:pPr>
      <w:r w:rsidRPr="007556CE">
        <w:rPr>
          <w:b/>
          <w:lang w:val="sk-SK"/>
        </w:rPr>
        <w:t>Účtovný doklad</w:t>
      </w:r>
      <w:r w:rsidRPr="007556CE">
        <w:rPr>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w:t>
      </w:r>
      <w:r w:rsidRPr="0073389C">
        <w:rPr>
          <w:rFonts w:cs="Arial"/>
          <w:szCs w:val="19"/>
          <w:lang w:val="sk-SK"/>
        </w:rPr>
        <w:lastRenderedPageBreak/>
        <w:t xml:space="preserve">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w:t>
      </w:r>
      <w:bookmarkStart w:id="12" w:name="_GoBack"/>
      <w:bookmarkEnd w:id="12"/>
      <w:r w:rsidRPr="0073389C">
        <w:rPr>
          <w:rFonts w:cs="Arial"/>
          <w:szCs w:val="19"/>
          <w:lang w:val="sk-SK"/>
        </w:rPr>
        <w:t xml:space="preserve">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31B07E1B"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3" w:name="_Toc410907847"/>
      <w:bookmarkStart w:id="14" w:name="_Toc440372857"/>
      <w:bookmarkStart w:id="15" w:name="_Toc440636368"/>
      <w:r>
        <w:rPr>
          <w:lang w:val="sk-SK"/>
        </w:rPr>
        <w:lastRenderedPageBreak/>
        <w:t>Použité s</w:t>
      </w:r>
      <w:r w:rsidR="00AE5A8F" w:rsidRPr="0073389C">
        <w:rPr>
          <w:lang w:val="sk-SK"/>
        </w:rPr>
        <w:t>kratky</w:t>
      </w:r>
      <w:bookmarkEnd w:id="13"/>
      <w:bookmarkEnd w:id="14"/>
      <w:bookmarkEnd w:id="15"/>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7FDE896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6" w:name="_Toc440372858"/>
      <w:bookmarkStart w:id="17" w:name="_Toc440636369"/>
      <w:r w:rsidRPr="0073389C">
        <w:rPr>
          <w:lang w:val="sk-SK"/>
        </w:rPr>
        <w:lastRenderedPageBreak/>
        <w:t>Legislatíva</w:t>
      </w:r>
      <w:bookmarkEnd w:id="16"/>
      <w:bookmarkEnd w:id="17"/>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14:paraId="7A55CE2F" w14:textId="4B0E2061"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16DA5DB8"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47C578F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77777777"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40636370"/>
      <w:r w:rsidRPr="0073389C">
        <w:rPr>
          <w:rFonts w:ascii="Arial" w:hAnsi="Arial"/>
          <w:lang w:val="sk-SK"/>
        </w:rPr>
        <w:lastRenderedPageBreak/>
        <w:t>Realizácia projektov</w:t>
      </w:r>
      <w:bookmarkEnd w:id="18"/>
      <w:bookmarkEnd w:id="19"/>
      <w:bookmarkEnd w:id="20"/>
    </w:p>
    <w:p w14:paraId="7A55CE40" w14:textId="77777777" w:rsidR="00AE5A8F" w:rsidRPr="0073389C" w:rsidRDefault="00AE5A8F" w:rsidP="009F56AB">
      <w:pPr>
        <w:pStyle w:val="Nadpis2"/>
        <w:spacing w:line="288" w:lineRule="auto"/>
        <w:rPr>
          <w:lang w:val="sk-SK"/>
        </w:rPr>
      </w:pPr>
      <w:bookmarkStart w:id="21" w:name="_Toc410907849"/>
      <w:bookmarkStart w:id="22" w:name="_Toc440372860"/>
      <w:bookmarkStart w:id="23" w:name="_Toc440636371"/>
      <w:r w:rsidRPr="0073389C">
        <w:rPr>
          <w:lang w:val="sk-SK"/>
        </w:rPr>
        <w:t>Všeobecné informácie k realizácii projektov</w:t>
      </w:r>
      <w:bookmarkEnd w:id="21"/>
      <w:bookmarkEnd w:id="22"/>
      <w:bookmarkEnd w:id="23"/>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40636372"/>
      <w:r w:rsidRPr="0073389C">
        <w:rPr>
          <w:lang w:val="sk-SK"/>
        </w:rPr>
        <w:t>Všeobecné informácie</w:t>
      </w:r>
      <w:bookmarkEnd w:id="24"/>
      <w:bookmarkEnd w:id="25"/>
      <w:bookmarkEnd w:id="26"/>
      <w:r w:rsidRPr="0073389C">
        <w:rPr>
          <w:lang w:val="sk-SK"/>
        </w:rPr>
        <w:t xml:space="preserve"> </w:t>
      </w:r>
    </w:p>
    <w:p w14:paraId="7A55CE42" w14:textId="437A6F5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7A55CE43" w14:textId="60B96576"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8"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14:paraId="7A55CE44" w14:textId="58376057"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14:paraId="7A55CE45" w14:textId="03C2049A"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40636373"/>
      <w:r w:rsidRPr="0073389C">
        <w:rPr>
          <w:lang w:val="sk-SK"/>
        </w:rPr>
        <w:t>Na čo nezabudnúť po podpise zmluvy</w:t>
      </w:r>
      <w:bookmarkEnd w:id="27"/>
      <w:bookmarkEnd w:id="28"/>
      <w:bookmarkEnd w:id="29"/>
    </w:p>
    <w:p w14:paraId="7A55CE47" w14:textId="43764DDD"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elektronicky 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elektronicky 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7A55CE4A" w14:textId="65AA9B67" w:rsidR="00492025" w:rsidRPr="0073389C" w:rsidRDefault="00492025" w:rsidP="007B5322">
      <w:pPr>
        <w:spacing w:before="120" w:after="120" w:line="288" w:lineRule="auto"/>
        <w:jc w:val="both"/>
      </w:pPr>
      <w:r w:rsidRPr="0073389C">
        <w:t xml:space="preserve">Personálna matica je súčasťou dokumentácie projektu. Zmena, resp. doplnenie </w:t>
      </w:r>
      <w:r w:rsidR="007738BC">
        <w:t>P</w:t>
      </w:r>
      <w:r w:rsidRPr="0073389C">
        <w:t xml:space="preserve">ersonálnej matice nemení zmluvu o NFP. V prípade, že prijímateľ nezašle aktualizovanú </w:t>
      </w:r>
      <w:r w:rsidR="007738BC">
        <w:t>P</w:t>
      </w:r>
      <w:r w:rsidRPr="0073389C">
        <w:t xml:space="preserve">ersonálnu maticu (v prípade zmeny), </w:t>
      </w:r>
      <w:r w:rsidR="007738BC">
        <w:t>poskytovateľ</w:t>
      </w:r>
      <w:r w:rsidR="007738BC" w:rsidRPr="0073389C">
        <w:t xml:space="preserve"> </w:t>
      </w:r>
      <w:r w:rsidRPr="0073389C">
        <w:t>môže pristúpiť k pozastaveniu, zamietnutiu alebo upraveniu výšky platby v ŽoP.</w:t>
      </w:r>
    </w:p>
    <w:p w14:paraId="7A55CE4B" w14:textId="03A6FA79" w:rsidR="003F3124" w:rsidRPr="0073389C" w:rsidRDefault="00492025" w:rsidP="007B5322">
      <w:pPr>
        <w:spacing w:before="120" w:after="120" w:line="288" w:lineRule="auto"/>
        <w:jc w:val="both"/>
      </w:pPr>
      <w:r w:rsidRPr="0073389C">
        <w:t xml:space="preserve">Odbornosť osoby uvedenej v </w:t>
      </w:r>
      <w:r w:rsidR="007738BC">
        <w:t>P</w:t>
      </w:r>
      <w:r w:rsidRPr="0073389C">
        <w:t xml:space="preserve">ersonálnej matici sa preukazuje profesijným životopisom. Prijímateľ je povinný si od všetkých osôb zaradených v </w:t>
      </w:r>
      <w:r w:rsidR="007738BC">
        <w:t>P</w:t>
      </w:r>
      <w:r w:rsidRPr="0073389C">
        <w:t>ersonálnej matici vyžiadať profesijný životopis a súhlas so spracovaním osobných údajov dotknutých osôb</w:t>
      </w:r>
      <w:r w:rsidR="00C777D5">
        <w:t xml:space="preserve"> </w:t>
      </w:r>
      <w:r w:rsidRPr="0073389C">
        <w:t xml:space="preserve">a zozbierané súhlasy a životopisy archivovať tak, aby prijímateľ bol schopný predložiť požadované súhlasy a životopisy kontrolnej skupine v prípade </w:t>
      </w:r>
      <w:r w:rsidR="0014799B">
        <w:t xml:space="preserve">finančnej </w:t>
      </w:r>
      <w:r w:rsidRPr="0073389C">
        <w:lastRenderedPageBreak/>
        <w:t xml:space="preserve">kontroly na mieste zo strany </w:t>
      </w:r>
      <w:r w:rsidR="007738BC">
        <w:t>poskytovateľa</w:t>
      </w:r>
      <w:r w:rsidRPr="0073389C">
        <w:t xml:space="preserve">, resp. na vyžiadanie </w:t>
      </w:r>
      <w:r w:rsidR="007738BC">
        <w:t>poskytovateľa</w:t>
      </w:r>
      <w:r w:rsidRPr="0073389C">
        <w:t xml:space="preserve">. </w:t>
      </w:r>
      <w:r w:rsidR="007738BC">
        <w:t>Poskytovateľ</w:t>
      </w:r>
      <w:r w:rsidRPr="0073389C">
        <w:t xml:space="preserve"> má právo dožiadať prijímateľa o predloženie dokladov k transparentnému výberu osôb zaradených v </w:t>
      </w:r>
      <w:r w:rsidR="007738BC">
        <w:t>P</w:t>
      </w:r>
      <w:r w:rsidRPr="0073389C">
        <w:t>ersonálnej matici.</w:t>
      </w:r>
    </w:p>
    <w:p w14:paraId="7A55CE4C" w14:textId="315CBEF4"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 xml:space="preserve">poskytovaním informácií </w:t>
      </w:r>
      <w:r w:rsidR="009E27C5" w:rsidRPr="0073389C">
        <w:lastRenderedPageBreak/>
        <w:t>(napr.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0A82747B" w:rsidR="00AE5A8F" w:rsidRPr="0073389C" w:rsidRDefault="00AE5A8F" w:rsidP="00AE0D10">
      <w:pPr>
        <w:spacing w:before="120" w:after="120" w:line="288" w:lineRule="auto"/>
        <w:jc w:val="both"/>
      </w:pPr>
      <w:r w:rsidRPr="0073389C">
        <w:t xml:space="preserve">Zároveň pred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w:t>
      </w:r>
      <w:r w:rsidR="00875421">
        <w:t xml:space="preserve"> </w:t>
      </w:r>
      <w:r w:rsidRPr="0073389C">
        <w:t>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9" w:history="1">
        <w:r w:rsidR="003E2E6B" w:rsidRPr="0073389C">
          <w:rPr>
            <w:rStyle w:val="Hypertextovprepojenie"/>
          </w:rPr>
          <w:t>http://www.opevs.eu</w:t>
        </w:r>
      </w:hyperlink>
      <w:r w:rsidRPr="0073389C">
        <w:t>).</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40636374"/>
      <w:r w:rsidRPr="0073389C">
        <w:rPr>
          <w:lang w:val="sk-SK"/>
        </w:rPr>
        <w:t>Monitorovanie projektu</w:t>
      </w:r>
      <w:bookmarkEnd w:id="30"/>
      <w:bookmarkEnd w:id="31"/>
      <w:bookmarkEnd w:id="32"/>
    </w:p>
    <w:p w14:paraId="7A55CE5E" w14:textId="77777777"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7A55CE5F" w14:textId="2051496B"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14:paraId="7A55CE60" w14:textId="77777777" w:rsidR="006140FA" w:rsidRPr="0073389C" w:rsidRDefault="006140FA" w:rsidP="00AE0D10">
      <w:pPr>
        <w:spacing w:before="120" w:after="120" w:line="288" w:lineRule="auto"/>
        <w:jc w:val="both"/>
      </w:pPr>
      <w:r w:rsidRPr="0073389C">
        <w:rPr>
          <w:b/>
        </w:rPr>
        <w:t>Monitorovanie počas realizácie projektu</w:t>
      </w:r>
      <w:r w:rsidRPr="0073389C">
        <w:t xml:space="preserve"> je rozdelené na dve časti</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14:paraId="7A55CE63" w14:textId="77777777"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7A55CE64" w14:textId="77777777" w:rsidR="002F32E4" w:rsidRPr="0073389C" w:rsidRDefault="00E83090" w:rsidP="009A78AB">
      <w:pPr>
        <w:numPr>
          <w:ilvl w:val="0"/>
          <w:numId w:val="30"/>
        </w:numPr>
        <w:spacing w:before="120" w:after="120" w:line="288" w:lineRule="auto"/>
        <w:ind w:left="567" w:hanging="283"/>
        <w:jc w:val="both"/>
      </w:pPr>
      <w:r w:rsidRPr="0073389C">
        <w:t>Doplňujúce monitorovacie údaje k ŽoP</w:t>
      </w:r>
      <w:r w:rsidRPr="0073389C" w:rsidDel="00E83090">
        <w:t xml:space="preserve"> </w:t>
      </w:r>
    </w:p>
    <w:p w14:paraId="7A55CE65" w14:textId="1F8F46C0"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 xml:space="preserve">Prijímateľ predkladá </w:t>
      </w:r>
      <w:r w:rsidR="00215D0B" w:rsidRPr="0073389C">
        <w:rPr>
          <w:szCs w:val="19"/>
          <w:lang w:val="sk-SK"/>
        </w:rPr>
        <w:t xml:space="preserve">doplňujúce </w:t>
      </w:r>
      <w:r w:rsidRPr="0073389C">
        <w:rPr>
          <w:szCs w:val="19"/>
          <w:lang w:val="sk-SK"/>
        </w:rPr>
        <w:t xml:space="preserve">monitorovacie </w:t>
      </w:r>
      <w:r w:rsidR="00215D0B" w:rsidRPr="0073389C">
        <w:rPr>
          <w:szCs w:val="19"/>
          <w:lang w:val="sk-SK"/>
        </w:rPr>
        <w:t xml:space="preserve">údaje </w:t>
      </w:r>
      <w:r w:rsidR="00DE2902" w:rsidRPr="0073389C">
        <w:rPr>
          <w:rFonts w:cs="Arial"/>
          <w:szCs w:val="19"/>
          <w:lang w:val="sk-SK"/>
        </w:rPr>
        <w:t xml:space="preserve">(príloha č. </w:t>
      </w:r>
      <w:r w:rsidR="004D0353">
        <w:rPr>
          <w:rFonts w:cs="Arial"/>
          <w:szCs w:val="19"/>
          <w:lang w:val="sk-SK"/>
        </w:rPr>
        <w:t>2</w:t>
      </w:r>
      <w:r w:rsidR="00DE2902" w:rsidRPr="0073389C">
        <w:rPr>
          <w:rFonts w:cs="Arial"/>
          <w:szCs w:val="19"/>
          <w:lang w:val="sk-SK"/>
        </w:rPr>
        <w:t xml:space="preserve">) </w:t>
      </w:r>
      <w:r w:rsidRPr="0073389C">
        <w:rPr>
          <w:szCs w:val="19"/>
          <w:lang w:val="sk-SK"/>
        </w:rPr>
        <w:t>ako</w:t>
      </w:r>
      <w:r w:rsidR="00215D0B" w:rsidRPr="0073389C">
        <w:rPr>
          <w:szCs w:val="19"/>
          <w:lang w:val="sk-SK"/>
        </w:rPr>
        <w:t xml:space="preserve"> neoddeliteľnú</w:t>
      </w:r>
      <w:r w:rsidRPr="0073389C">
        <w:rPr>
          <w:szCs w:val="19"/>
          <w:lang w:val="sk-SK"/>
        </w:rPr>
        <w:t xml:space="preserve"> prílohu ku každej predkladanej </w:t>
      </w:r>
      <w:r w:rsidR="00215D0B" w:rsidRPr="0073389C">
        <w:rPr>
          <w:szCs w:val="19"/>
          <w:lang w:val="sk-SK"/>
        </w:rPr>
        <w:t>ŽoP</w:t>
      </w:r>
      <w:r w:rsidRPr="0073389C">
        <w:rPr>
          <w:szCs w:val="19"/>
          <w:lang w:val="sk-SK"/>
        </w:rPr>
        <w:t xml:space="preserve"> </w:t>
      </w:r>
      <w:r w:rsidR="0044377D" w:rsidRPr="0073389C">
        <w:rPr>
          <w:szCs w:val="19"/>
          <w:lang w:val="sk-SK"/>
        </w:rPr>
        <w:t>typu priebežná platba, zúčtovanie zálohovej platby a poskytnutie predfinancovania</w:t>
      </w:r>
      <w:r w:rsidRPr="0073389C">
        <w:rPr>
          <w:szCs w:val="19"/>
          <w:lang w:val="sk-SK"/>
        </w:rPr>
        <w:t xml:space="preserve">. </w:t>
      </w:r>
      <w:r w:rsidR="00215D0B" w:rsidRPr="0073389C">
        <w:rPr>
          <w:szCs w:val="19"/>
          <w:lang w:val="sk-SK"/>
        </w:rPr>
        <w:t xml:space="preserve">Doplňujúce monitorovacie údaje sú poskytované len vo vzťahu k vybraným typom žiadostí o platbu </w:t>
      </w:r>
      <w:r w:rsidR="000B36A9">
        <w:rPr>
          <w:szCs w:val="19"/>
          <w:lang w:val="sk-SK"/>
        </w:rPr>
        <w:t xml:space="preserve">a </w:t>
      </w:r>
      <w:r w:rsidRPr="0073389C">
        <w:rPr>
          <w:szCs w:val="19"/>
          <w:lang w:val="sk-SK"/>
        </w:rPr>
        <w:t xml:space="preserve">viažu </w:t>
      </w:r>
      <w:r w:rsidR="00215D0B" w:rsidRPr="0073389C">
        <w:rPr>
          <w:szCs w:val="19"/>
          <w:lang w:val="sk-SK"/>
        </w:rPr>
        <w:t xml:space="preserve">sa </w:t>
      </w:r>
      <w:r w:rsidRPr="0073389C">
        <w:rPr>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Pr>
          <w:szCs w:val="19"/>
          <w:lang w:val="sk-SK"/>
        </w:rPr>
        <w:t>uje</w:t>
      </w:r>
      <w:r w:rsidRPr="0073389C">
        <w:rPr>
          <w:szCs w:val="19"/>
          <w:lang w:val="sk-SK"/>
        </w:rPr>
        <w:t xml:space="preserve"> poskytovateľa o fyzickom pokroku realizácie projektu.</w:t>
      </w:r>
    </w:p>
    <w:p w14:paraId="7A55CE66" w14:textId="77777777" w:rsidR="00433EE7" w:rsidRPr="0073389C" w:rsidRDefault="00433EE7" w:rsidP="00563905">
      <w:pPr>
        <w:pStyle w:val="Bulletslevel1"/>
        <w:numPr>
          <w:ilvl w:val="0"/>
          <w:numId w:val="0"/>
        </w:numPr>
        <w:spacing w:after="120" w:line="288" w:lineRule="auto"/>
        <w:jc w:val="both"/>
        <w:rPr>
          <w:rFonts w:eastAsia="Times New Roman" w:cs="Arial"/>
          <w:b/>
          <w:color w:val="auto"/>
          <w:szCs w:val="19"/>
          <w:lang w:val="sk-SK" w:eastAsia="en-US"/>
        </w:rPr>
      </w:pPr>
      <w:r w:rsidRPr="0073389C">
        <w:rPr>
          <w:rFonts w:eastAsia="Times New Roman" w:cs="Arial"/>
          <w:b/>
          <w:color w:val="auto"/>
          <w:szCs w:val="19"/>
          <w:lang w:val="sk-SK" w:eastAsia="en-US"/>
        </w:rPr>
        <w:t>P</w:t>
      </w:r>
      <w:r w:rsidR="003E2E6B" w:rsidRPr="0073389C">
        <w:rPr>
          <w:rFonts w:eastAsia="Times New Roman" w:cs="Arial"/>
          <w:b/>
          <w:color w:val="auto"/>
          <w:szCs w:val="19"/>
          <w:lang w:val="sk-SK" w:eastAsia="en-US"/>
        </w:rPr>
        <w:t>ovinné prílohy k 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lastRenderedPageBreak/>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3E639F59"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r w:rsidR="00C0124D">
        <w:t>- 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0F8FF228"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9A78AB">
      <w:pPr>
        <w:pStyle w:val="Bulletslevel2"/>
        <w:numPr>
          <w:ilvl w:val="0"/>
          <w:numId w:val="80"/>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9A78AB">
      <w:pPr>
        <w:pStyle w:val="Bulletslevel2"/>
        <w:numPr>
          <w:ilvl w:val="0"/>
          <w:numId w:val="80"/>
        </w:numPr>
        <w:spacing w:after="120" w:line="288" w:lineRule="auto"/>
        <w:rPr>
          <w:szCs w:val="19"/>
          <w:lang w:val="sk-SK"/>
        </w:rPr>
      </w:pPr>
      <w:r w:rsidRPr="0073389C">
        <w:rPr>
          <w:szCs w:val="19"/>
          <w:lang w:val="sk-SK"/>
        </w:rPr>
        <w:t xml:space="preserve">zoznam výstupov jednotlivých aktivít projektu; </w:t>
      </w:r>
    </w:p>
    <w:p w14:paraId="7A55CE72" w14:textId="2049ADFE" w:rsidR="002F32E4" w:rsidRPr="0073389C" w:rsidRDefault="002F32E4" w:rsidP="009A78AB">
      <w:pPr>
        <w:pStyle w:val="Bulletslevel2"/>
        <w:numPr>
          <w:ilvl w:val="0"/>
          <w:numId w:val="80"/>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7A55CE75" w14:textId="594ECA34"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14:paraId="7A55CE76" w14:textId="444A7922" w:rsidR="00274ECC" w:rsidRPr="0073389C" w:rsidRDefault="00DF22AA" w:rsidP="009A78AB">
      <w:pPr>
        <w:pStyle w:val="Bulletslevel1"/>
        <w:numPr>
          <w:ilvl w:val="1"/>
          <w:numId w:val="81"/>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14:paraId="7A55CE77" w14:textId="77777777" w:rsidR="00274ECC" w:rsidRPr="0073389C" w:rsidRDefault="00274ECC" w:rsidP="009A78AB">
      <w:pPr>
        <w:pStyle w:val="Bulletslevel1"/>
        <w:numPr>
          <w:ilvl w:val="1"/>
          <w:numId w:val="81"/>
        </w:numPr>
        <w:rPr>
          <w:lang w:val="sk-SK"/>
        </w:rPr>
      </w:pPr>
      <w:r w:rsidRPr="0073389C">
        <w:rPr>
          <w:lang w:val="sk-SK"/>
        </w:rPr>
        <w:t xml:space="preserve">aktuálne hodnoty ukazovateľov; </w:t>
      </w:r>
    </w:p>
    <w:p w14:paraId="7A55CE78" w14:textId="77777777" w:rsidR="00274ECC" w:rsidRPr="0073389C" w:rsidRDefault="00274ECC" w:rsidP="009A78AB">
      <w:pPr>
        <w:pStyle w:val="Bulletslevel1"/>
        <w:numPr>
          <w:ilvl w:val="1"/>
          <w:numId w:val="81"/>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lastRenderedPageBreak/>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3678D229" w14:textId="77777777" w:rsidR="00F93253" w:rsidRDefault="00F93253" w:rsidP="00F93253">
      <w:pPr>
        <w:pStyle w:val="Default"/>
        <w:rPr>
          <w:rFonts w:ascii="Arial" w:hAnsi="Arial"/>
          <w:b/>
          <w:color w:val="auto"/>
          <w:sz w:val="19"/>
          <w:lang w:val="sk-SK"/>
        </w:rPr>
      </w:pP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45B35F11" w14:textId="77777777" w:rsidR="00F651CD" w:rsidRDefault="00F93253" w:rsidP="00F651CD">
      <w:pPr>
        <w:pStyle w:val="Default"/>
        <w:jc w:val="both"/>
        <w:rPr>
          <w:rFonts w:ascii="Arial" w:hAnsi="Arial"/>
          <w:color w:val="auto"/>
          <w:sz w:val="19"/>
          <w:lang w:val="sk-SK"/>
        </w:rPr>
      </w:pPr>
      <w:r w:rsidRPr="003B2A65">
        <w:rPr>
          <w:lang w:val="sk-SK"/>
        </w:rPr>
        <w:br/>
      </w:r>
    </w:p>
    <w:p w14:paraId="46EC217D"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zadefinované v zmluve o NFP/rozhodnutí o schválení ŽoNFP</w:t>
      </w:r>
      <w:r w:rsidRPr="00F93253">
        <w:rPr>
          <w:rFonts w:ascii="Arial" w:hAnsi="Arial"/>
          <w:color w:val="auto"/>
          <w:sz w:val="19"/>
          <w:lang w:val="sk-SK"/>
        </w:rPr>
        <w:t>, je možné meniť len v objektívne odôvodnených osobitných prípadoch.</w:t>
      </w:r>
    </w:p>
    <w:p w14:paraId="6BCD96AB" w14:textId="77777777" w:rsidR="00F651CD" w:rsidRDefault="00F651CD" w:rsidP="00F651CD">
      <w:pPr>
        <w:pStyle w:val="Default"/>
        <w:jc w:val="both"/>
        <w:rPr>
          <w:rFonts w:ascii="Arial" w:hAnsi="Arial"/>
          <w:color w:val="auto"/>
          <w:sz w:val="19"/>
          <w:lang w:val="sk-SK"/>
        </w:rPr>
      </w:pPr>
    </w:p>
    <w:p w14:paraId="491A0B4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14:paraId="073008C0" w14:textId="203D824A"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14:paraId="58CC72AF"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p>
    <w:p w14:paraId="3658819C" w14:textId="77777777" w:rsidR="00F651CD" w:rsidRDefault="00F651CD" w:rsidP="00F651CD">
      <w:pPr>
        <w:pStyle w:val="Default"/>
        <w:jc w:val="both"/>
        <w:rPr>
          <w:rFonts w:ascii="Arial" w:hAnsi="Arial"/>
          <w:color w:val="auto"/>
          <w:sz w:val="19"/>
          <w:lang w:val="sk-SK"/>
        </w:rPr>
      </w:pPr>
    </w:p>
    <w:p w14:paraId="7C7115EF"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14:paraId="196370FB" w14:textId="77777777"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14:paraId="16F20A1A" w14:textId="32B806D1"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ŽoNFP</w:t>
      </w:r>
      <w:r w:rsidRPr="00896953">
        <w:rPr>
          <w:rFonts w:ascii="Arial" w:hAnsi="Arial"/>
          <w:color w:val="auto"/>
          <w:sz w:val="19"/>
          <w:lang w:val="sk-SK"/>
        </w:rPr>
        <w:t xml:space="preserve">. </w:t>
      </w:r>
    </w:p>
    <w:p w14:paraId="5E7A54C5" w14:textId="77777777" w:rsidR="00F651CD" w:rsidRDefault="00F651CD" w:rsidP="00F651CD">
      <w:pPr>
        <w:pStyle w:val="Default"/>
        <w:jc w:val="both"/>
        <w:rPr>
          <w:rFonts w:ascii="Arial" w:hAnsi="Arial"/>
          <w:color w:val="auto"/>
          <w:sz w:val="19"/>
          <w:lang w:val="sk-SK"/>
        </w:rPr>
      </w:pPr>
    </w:p>
    <w:p w14:paraId="1612F4CB"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14:paraId="7045C072" w14:textId="58EA5E42"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7"/>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14:paraId="3EF4D82A" w14:textId="6F5615A7"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14:paraId="52159BBF" w14:textId="77777777"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14:paraId="2204DC15" w14:textId="77777777"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14:paraId="2F7BE879" w14:textId="77777777" w:rsidR="00F651CD" w:rsidRDefault="00F651CD" w:rsidP="00F651CD">
      <w:pPr>
        <w:pStyle w:val="Default"/>
        <w:jc w:val="both"/>
        <w:rPr>
          <w:rFonts w:ascii="Arial" w:hAnsi="Arial"/>
          <w:color w:val="auto"/>
          <w:sz w:val="19"/>
          <w:lang w:val="sk-SK"/>
        </w:rPr>
      </w:pPr>
    </w:p>
    <w:p w14:paraId="3F923170" w14:textId="77777777" w:rsidR="00F651CD" w:rsidRDefault="00F651CD" w:rsidP="00F651CD">
      <w:pPr>
        <w:pStyle w:val="Default"/>
        <w:jc w:val="both"/>
        <w:rPr>
          <w:rFonts w:ascii="Arial" w:hAnsi="Arial"/>
          <w:color w:val="auto"/>
          <w:sz w:val="19"/>
          <w:lang w:val="sk-SK"/>
        </w:rPr>
      </w:pPr>
    </w:p>
    <w:p w14:paraId="667F7A77"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14:paraId="438A0CD5" w14:textId="60600498"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14:paraId="221B2CE9" w14:textId="77777777" w:rsidR="00F651CD" w:rsidRDefault="00F651CD" w:rsidP="00F651CD">
      <w:pPr>
        <w:pStyle w:val="Default"/>
        <w:jc w:val="both"/>
        <w:rPr>
          <w:rFonts w:ascii="Arial" w:hAnsi="Arial"/>
          <w:color w:val="auto"/>
          <w:sz w:val="19"/>
          <w:lang w:val="sk-SK"/>
        </w:rPr>
      </w:pPr>
    </w:p>
    <w:p w14:paraId="07969ED8" w14:textId="52216769" w:rsidR="00F651CD" w:rsidRDefault="00F651CD" w:rsidP="00F651CD">
      <w:pPr>
        <w:pStyle w:val="Default"/>
        <w:jc w:val="both"/>
        <w:rPr>
          <w:rFonts w:ascii="Arial" w:hAnsi="Arial"/>
          <w:color w:val="auto"/>
          <w:sz w:val="19"/>
          <w:lang w:val="sk-SK"/>
        </w:rPr>
      </w:pPr>
      <w:r>
        <w:rPr>
          <w:rFonts w:ascii="Arial" w:hAnsi="Arial"/>
          <w:color w:val="auto"/>
          <w:sz w:val="19"/>
          <w:lang w:val="sk-SK"/>
        </w:rPr>
        <w:lastRenderedPageBreak/>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771817" w:rsidRDefault="00F651CD" w:rsidP="00771817">
      <w:pPr>
        <w:pStyle w:val="Default"/>
        <w:jc w:val="both"/>
        <w:rPr>
          <w:rFonts w:ascii="Arial" w:hAnsi="Arial"/>
          <w:color w:val="auto"/>
          <w:sz w:val="19"/>
          <w:lang w:val="sk-SK"/>
        </w:rPr>
      </w:pPr>
    </w:p>
    <w:p w14:paraId="36518154" w14:textId="481B1686"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14:paraId="6FDB32FA" w14:textId="77777777" w:rsidR="00F651CD" w:rsidRPr="00EB58C6" w:rsidRDefault="00F651CD" w:rsidP="00F651CD">
      <w:pPr>
        <w:pStyle w:val="Default"/>
        <w:jc w:val="both"/>
        <w:rPr>
          <w:rFonts w:ascii="Arial" w:hAnsi="Arial"/>
          <w:color w:val="auto"/>
          <w:sz w:val="19"/>
          <w:lang w:val="sk-SK"/>
        </w:rPr>
      </w:pPr>
    </w:p>
    <w:p w14:paraId="473F9B41" w14:textId="5DD688B4"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14:paraId="6E33DEF5" w14:textId="0A474C3E"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14:paraId="56FD4EBE" w14:textId="77777777"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14:paraId="4EC2C509" w14:textId="77777777" w:rsidR="00F651CD" w:rsidRPr="00896953" w:rsidRDefault="00F651CD" w:rsidP="00F651CD">
      <w:pPr>
        <w:pStyle w:val="Default"/>
        <w:jc w:val="both"/>
        <w:rPr>
          <w:rFonts w:ascii="Arial" w:hAnsi="Arial"/>
          <w:color w:val="auto"/>
          <w:sz w:val="19"/>
          <w:lang w:val="sk-SK"/>
        </w:rPr>
      </w:pPr>
    </w:p>
    <w:p w14:paraId="210DC755" w14:textId="77777777"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14:paraId="28A4D249" w14:textId="20947264"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0735FD" w:rsidDel="004952A7">
        <w:rPr>
          <w:sz w:val="22"/>
          <w:szCs w:val="22"/>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14:paraId="5623FC28" w14:textId="77777777"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14:paraId="3D8D68DE" w14:textId="39E9ED52"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14:paraId="74FCDA6C" w14:textId="77777777" w:rsidR="00F651CD" w:rsidRDefault="00F651CD" w:rsidP="00F651CD">
      <w:pPr>
        <w:pStyle w:val="Default"/>
        <w:jc w:val="both"/>
        <w:rPr>
          <w:rFonts w:ascii="Arial" w:hAnsi="Arial"/>
          <w:color w:val="auto"/>
          <w:sz w:val="19"/>
          <w:lang w:val="sk-SK"/>
        </w:rPr>
      </w:pPr>
    </w:p>
    <w:p w14:paraId="23544FE8" w14:textId="2E7B99E5"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32619164" w14:textId="77777777" w:rsidR="00F651CD" w:rsidRDefault="00F651CD" w:rsidP="00F651CD">
      <w:pPr>
        <w:pStyle w:val="Default"/>
        <w:jc w:val="both"/>
        <w:rPr>
          <w:rFonts w:ascii="Arial" w:hAnsi="Arial"/>
          <w:color w:val="auto"/>
          <w:sz w:val="19"/>
          <w:lang w:val="sk-SK"/>
        </w:rPr>
      </w:pPr>
    </w:p>
    <w:p w14:paraId="7A55CE7C" w14:textId="50DE31F8" w:rsidR="00563905" w:rsidRPr="0073389C" w:rsidRDefault="00563905" w:rsidP="00AE0D10">
      <w:pPr>
        <w:spacing w:before="120" w:after="120" w:line="288" w:lineRule="auto"/>
        <w:jc w:val="both"/>
      </w:pPr>
    </w:p>
    <w:p w14:paraId="7A55CE7D" w14:textId="77777777" w:rsidR="007223B7" w:rsidRPr="0073389C" w:rsidRDefault="007223B7" w:rsidP="007223B7">
      <w:pPr>
        <w:pStyle w:val="Nadpis2"/>
        <w:rPr>
          <w:lang w:val="sk-SK"/>
        </w:rPr>
      </w:pPr>
      <w:bookmarkStart w:id="33" w:name="_Toc440372864"/>
      <w:bookmarkStart w:id="34"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3"/>
      <w:bookmarkEnd w:id="34"/>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5" w:name="_Toc440372865"/>
      <w:bookmarkStart w:id="36" w:name="_Toc440636376"/>
      <w:r w:rsidRPr="0073389C">
        <w:rPr>
          <w:lang w:val="sk-SK"/>
        </w:rPr>
        <w:t>Charakter zmien a spôsob posudzovania zmien</w:t>
      </w:r>
      <w:bookmarkEnd w:id="35"/>
      <w:bookmarkEnd w:id="36"/>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lastRenderedPageBreak/>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63687745"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14:paraId="1700631D" w14:textId="1DF7BDC9" w:rsidR="008F0217" w:rsidRDefault="00C750F1" w:rsidP="00AB2DF3">
      <w:pPr>
        <w:pStyle w:val="Odsekzoznamu"/>
        <w:numPr>
          <w:ilvl w:val="0"/>
          <w:numId w:val="10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317C7">
      <w:pPr>
        <w:numPr>
          <w:ilvl w:val="0"/>
          <w:numId w:val="41"/>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FD2BDF">
      <w:pPr>
        <w:numPr>
          <w:ilvl w:val="0"/>
          <w:numId w:val="41"/>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9A78AB">
      <w:pPr>
        <w:numPr>
          <w:ilvl w:val="0"/>
          <w:numId w:val="41"/>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9A78AB">
      <w:pPr>
        <w:numPr>
          <w:ilvl w:val="0"/>
          <w:numId w:val="41"/>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9A78AB">
      <w:pPr>
        <w:numPr>
          <w:ilvl w:val="0"/>
          <w:numId w:val="41"/>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9A78AB">
      <w:pPr>
        <w:numPr>
          <w:ilvl w:val="0"/>
          <w:numId w:val="41"/>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9A78AB">
      <w:pPr>
        <w:numPr>
          <w:ilvl w:val="0"/>
          <w:numId w:val="41"/>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0EEC0610" w14:textId="406C9D9F" w:rsidR="00033F4A" w:rsidRDefault="00E008D8" w:rsidP="00033F4A">
      <w:pPr>
        <w:numPr>
          <w:ilvl w:val="0"/>
          <w:numId w:val="41"/>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14:paraId="142DAA72" w14:textId="77777777" w:rsidR="00033F4A" w:rsidRPr="00033F4A" w:rsidRDefault="00033F4A" w:rsidP="00033F4A">
      <w:pPr>
        <w:spacing w:before="120" w:after="120" w:line="288" w:lineRule="auto"/>
        <w:ind w:left="851"/>
        <w:jc w:val="both"/>
        <w:rPr>
          <w:bCs/>
          <w:lang w:eastAsia="cs-CZ"/>
        </w:rPr>
      </w:pPr>
    </w:p>
    <w:p w14:paraId="7A55CE98" w14:textId="0B151309"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V prípade, že počas realizácie aktivít projektu nastanú okolnosti, ktoré zásadným spôsobom ovplyvnia charakter a parametre projektu alebo plnenie podmienok stanovených v zmluve/rozhodnutí– hovoríme o</w:t>
      </w:r>
      <w:r w:rsidR="006E22FD">
        <w:t> </w:t>
      </w:r>
      <w:r w:rsidRPr="0073389C">
        <w:rPr>
          <w:b/>
        </w:rPr>
        <w:t>podstatn</w:t>
      </w:r>
      <w:r w:rsidR="006E22FD">
        <w:rPr>
          <w:b/>
        </w:rPr>
        <w:t>om porušení</w:t>
      </w:r>
      <w:r w:rsidR="006E22FD" w:rsidRPr="006E22FD">
        <w:rPr>
          <w:b/>
        </w:rPr>
        <w:t xml:space="preserve"> Zmluvy o poskytnutí NFP</w:t>
      </w:r>
      <w:r w:rsidRPr="0073389C">
        <w:t xml:space="preserve">, vznik ktorých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75101FC9"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7" w:name="_Toc410907854"/>
      <w:bookmarkStart w:id="38" w:name="_Toc440372866"/>
      <w:bookmarkStart w:id="39" w:name="_Toc440636377"/>
      <w:r w:rsidRPr="0073389C">
        <w:rPr>
          <w:lang w:val="sk-SK"/>
        </w:rPr>
        <w:t>Administrácia zmenového konania</w:t>
      </w:r>
      <w:bookmarkEnd w:id="37"/>
      <w:bookmarkEnd w:id="38"/>
      <w:bookmarkEnd w:id="39"/>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DAEE4A2"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Žiadosť o zmenu zmluvy</w:t>
      </w:r>
      <w:r w:rsidR="0032670F" w:rsidRPr="0073389C">
        <w:t xml:space="preserve"> o NFP</w:t>
      </w:r>
      <w:r w:rsidRPr="0073389C">
        <w:t xml:space="preserve"> (</w:t>
      </w:r>
      <w:r w:rsidR="0032670F" w:rsidRPr="0073389C">
        <w:t>p</w:t>
      </w:r>
      <w:r w:rsidR="00E55ACE" w:rsidRPr="0073389C">
        <w:t>ríloha č.</w:t>
      </w:r>
      <w:r w:rsidR="000970B7" w:rsidRPr="0073389C">
        <w:t xml:space="preserve"> </w:t>
      </w:r>
      <w:r w:rsidR="004D0353" w:rsidRPr="0073389C">
        <w:t>1</w:t>
      </w:r>
      <w:r w:rsidR="004D0353">
        <w:t>7</w:t>
      </w:r>
      <w:r w:rsidR="0016783A" w:rsidRPr="0073389C">
        <w:t>)</w:t>
      </w:r>
      <w:r w:rsidRPr="0073389C">
        <w:t>.</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lastRenderedPageBreak/>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77777777"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p>
    <w:p w14:paraId="7A55CEAE" w14:textId="77777777"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číslo zmluvy, názov prijímateľa, sídlo, IČO, pôvodné znenie textu a navrhované znenie textu, detailné odôvodnenie navrhovanej zmeny, charakter zmeny a pod. V prípade chybne vyplnenej žiadosti o zmen</w:t>
      </w:r>
      <w:r w:rsidR="00BF7A74" w:rsidRPr="0073389C">
        <w:t>u</w:t>
      </w:r>
      <w:r w:rsidRPr="0073389C">
        <w:t xml:space="preserve"> a nedostatočného zdôvodnenia je príslušný </w:t>
      </w:r>
      <w:r w:rsidR="009F79A0" w:rsidRPr="0073389C">
        <w:t xml:space="preserve">projektový </w:t>
      </w:r>
      <w:r w:rsidRPr="0073389C">
        <w:t>manažér poskytovateľa povinný vyzvať prijímateľa (písomne listom alebo mailom) na doplnenie v primeranom termíne.</w:t>
      </w:r>
    </w:p>
    <w:p w14:paraId="7A55CEAF" w14:textId="289B51EB"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podstatnej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7A55CEB9" w14:textId="77777777" w:rsidR="00AE5A8F" w:rsidRPr="0073389C" w:rsidRDefault="00AE5A8F" w:rsidP="009B5B97">
      <w:pPr>
        <w:autoSpaceDE w:val="0"/>
        <w:autoSpaceDN w:val="0"/>
        <w:adjustRightInd w:val="0"/>
        <w:spacing w:before="120" w:after="120" w:line="288" w:lineRule="auto"/>
        <w:jc w:val="both"/>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p>
    <w:p w14:paraId="7A55CEBA" w14:textId="7985FCDB"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 zmluve a zároveň písomné akceptačné stanovisko, v ktorom zaznamená túto skutočnosť. </w:t>
      </w:r>
    </w:p>
    <w:p w14:paraId="7A55CEBB" w14:textId="24424DE1" w:rsidR="004E3753" w:rsidRPr="0073389C" w:rsidRDefault="00D11C1D" w:rsidP="009B5B97">
      <w:pPr>
        <w:autoSpaceDE w:val="0"/>
        <w:autoSpaceDN w:val="0"/>
        <w:adjustRightInd w:val="0"/>
        <w:spacing w:before="120" w:after="120" w:line="288" w:lineRule="auto"/>
        <w:jc w:val="both"/>
      </w:pPr>
      <w:bookmarkStart w:id="40" w:name="_Toc410031665"/>
      <w:bookmarkStart w:id="41" w:name="_Toc410907855"/>
      <w:r w:rsidRPr="0073389C">
        <w:t xml:space="preserve">Tri originálne vyhotovenia návrhu dodatku sú po podpise štatutárnym orgánom RO, resp. jeho zástupcom zaslané prijímateľovi na oboznámenie sa s ich obsahom a následné podpísanie. Prijímateľ podpíše všetky </w:t>
      </w:r>
      <w:r w:rsidRPr="0073389C">
        <w:lastRenderedPageBreak/>
        <w:t xml:space="preserve">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7A55CEBC" w14:textId="77777777"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rozhodnutia o schválení ŽoNFP môže byť výhradne len zmena príloh rozhodnutia, ktoré zabezpečujú práva a povinnosti 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7A55CEBD" w14:textId="35D3AD67" w:rsidR="00563905" w:rsidRDefault="0016783A" w:rsidP="009B5B97">
      <w:pPr>
        <w:autoSpaceDE w:val="0"/>
        <w:autoSpaceDN w:val="0"/>
        <w:adjustRightInd w:val="0"/>
        <w:spacing w:before="120" w:after="120" w:line="288" w:lineRule="auto"/>
        <w:jc w:val="both"/>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p>
    <w:p w14:paraId="2501F28D" w14:textId="77777777" w:rsidR="00E34A10" w:rsidRDefault="00E34A10" w:rsidP="009B5B97">
      <w:pPr>
        <w:autoSpaceDE w:val="0"/>
        <w:autoSpaceDN w:val="0"/>
        <w:adjustRightInd w:val="0"/>
        <w:spacing w:before="120" w:after="120" w:line="288" w:lineRule="auto"/>
        <w:jc w:val="both"/>
      </w:pPr>
    </w:p>
    <w:p w14:paraId="796DEE20" w14:textId="026526DD" w:rsidR="00E34A10" w:rsidRDefault="00E34A10" w:rsidP="00E34A10">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7D90ADD8" w14:textId="1320DFD1" w:rsidR="00E34A10" w:rsidRDefault="00E34A10" w:rsidP="00E34A10">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p>
    <w:p w14:paraId="3F022723" w14:textId="77777777" w:rsidR="00E34A10" w:rsidRPr="00E34A10" w:rsidRDefault="00E34A10" w:rsidP="00E34A10"/>
    <w:p w14:paraId="7A55CEC1" w14:textId="77777777" w:rsidR="00AE5A8F" w:rsidRPr="0073389C" w:rsidRDefault="00AE5A8F" w:rsidP="00E61650">
      <w:pPr>
        <w:pStyle w:val="Nadpis3"/>
        <w:spacing w:line="288" w:lineRule="auto"/>
        <w:ind w:left="567" w:firstLine="0"/>
        <w:jc w:val="both"/>
        <w:rPr>
          <w:lang w:val="sk-SK"/>
        </w:rPr>
      </w:pPr>
      <w:bookmarkStart w:id="42" w:name="_Toc440372867"/>
      <w:bookmarkStart w:id="43" w:name="_Toc440636378"/>
      <w:r w:rsidRPr="0073389C">
        <w:rPr>
          <w:lang w:val="sk-SK"/>
        </w:rPr>
        <w:t>Ukončenie zmluvného vzťahu</w:t>
      </w:r>
      <w:bookmarkEnd w:id="40"/>
      <w:bookmarkEnd w:id="41"/>
      <w:bookmarkEnd w:id="42"/>
      <w:bookmarkEnd w:id="43"/>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w:t>
      </w:r>
      <w:r w:rsidRPr="0073389C">
        <w:lastRenderedPageBreak/>
        <w:t>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4" w:name="_Toc410907856"/>
      <w:bookmarkStart w:id="45" w:name="_Toc440372868"/>
      <w:bookmarkStart w:id="46" w:name="_Toc440636379"/>
      <w:r w:rsidRPr="0073389C">
        <w:rPr>
          <w:lang w:val="sk-SK"/>
        </w:rPr>
        <w:t>Finančné riadenie</w:t>
      </w:r>
      <w:bookmarkEnd w:id="44"/>
      <w:bookmarkEnd w:id="45"/>
      <w:bookmarkEnd w:id="46"/>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7" w:name="_Toc410907857"/>
      <w:bookmarkStart w:id="48" w:name="_Toc440372869"/>
      <w:bookmarkStart w:id="49" w:name="_Toc440636380"/>
      <w:r w:rsidRPr="0073389C">
        <w:rPr>
          <w:lang w:val="sk-SK"/>
        </w:rPr>
        <w:t>Vedenie účtovníct</w:t>
      </w:r>
      <w:r w:rsidR="004A616F" w:rsidRPr="0073389C">
        <w:rPr>
          <w:lang w:val="sk-SK"/>
        </w:rPr>
        <w:t>va</w:t>
      </w:r>
      <w:bookmarkEnd w:id="47"/>
      <w:bookmarkEnd w:id="48"/>
      <w:bookmarkEnd w:id="49"/>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lastRenderedPageBreak/>
        <w:t>na analytických účtoch v členení podľa jednotlivých projektov alebo v analytickej evidencii vedenej v technickej forme</w:t>
      </w:r>
      <w:r w:rsidRPr="0073389C">
        <w:rPr>
          <w:rStyle w:val="Odkaznapoznmkupodiarou"/>
          <w:sz w:val="19"/>
          <w:szCs w:val="19"/>
          <w:lang w:eastAsia="en-AU"/>
        </w:rPr>
        <w:footnoteReference w:id="8"/>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1C31F81"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ak relevantné).</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0" w:name="_Toc440372870"/>
      <w:bookmarkStart w:id="51" w:name="_Toc440636381"/>
      <w:bookmarkStart w:id="52"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0"/>
      <w:bookmarkEnd w:id="51"/>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9"/>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9A78AB">
      <w:pPr>
        <w:pStyle w:val="Odsekzoznamu"/>
        <w:numPr>
          <w:ilvl w:val="0"/>
          <w:numId w:val="82"/>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w:t>
      </w:r>
      <w:r w:rsidRPr="00C33B6F">
        <w:rPr>
          <w:rFonts w:cs="Arial"/>
          <w:szCs w:val="16"/>
        </w:rPr>
        <w:lastRenderedPageBreak/>
        <w:t>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9A78AB">
      <w:pPr>
        <w:pStyle w:val="Odsekzoznamu"/>
        <w:numPr>
          <w:ilvl w:val="0"/>
          <w:numId w:val="82"/>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9A78AB">
      <w:pPr>
        <w:pStyle w:val="Odsekzoznamu"/>
        <w:numPr>
          <w:ilvl w:val="0"/>
          <w:numId w:val="82"/>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7A55CEE8" w14:textId="19A25A04" w:rsidR="005E6319" w:rsidRDefault="008D2E36" w:rsidP="009A78AB">
      <w:pPr>
        <w:pStyle w:val="Odsekzoznamu"/>
        <w:numPr>
          <w:ilvl w:val="0"/>
          <w:numId w:val="82"/>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14:paraId="60659DD1" w14:textId="16B5250B"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predfinancovania,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10"/>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11"/>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lastRenderedPageBreak/>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9A78AB">
      <w:pPr>
        <w:pStyle w:val="Odsekzoznamu"/>
        <w:numPr>
          <w:ilvl w:val="0"/>
          <w:numId w:val="83"/>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9A78AB">
      <w:pPr>
        <w:pStyle w:val="Odsekzoznamu"/>
        <w:numPr>
          <w:ilvl w:val="0"/>
          <w:numId w:val="83"/>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2"/>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3"/>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w:t>
      </w:r>
      <w:r w:rsidRPr="0073389C">
        <w:lastRenderedPageBreak/>
        <w:t>zdroje prijímateľa neprechádzajú cez osobitný účet, prijímateľ je povinný ku každému uhradenému výdavku doložiť výpis z iného bežného účtu otvoreného prijímateľom o úhrade vlastných zdrojov prijímateľa.</w:t>
      </w:r>
    </w:p>
    <w:p w14:paraId="54D82EB1" w14:textId="338F25CD" w:rsidR="008D2E36" w:rsidRPr="003A1E7D" w:rsidRDefault="008D2E36" w:rsidP="00E135DC">
      <w:bookmarkStart w:id="53" w:name="_Toc440372871"/>
      <w:bookmarkStart w:id="54" w:name="_Toc440636382"/>
      <w:r w:rsidRPr="00E135DC">
        <w:rPr>
          <w:b/>
        </w:rPr>
        <w:t>Platby vo vzťahu prijímateľ – dodávateľ/zhotoviteľ</w:t>
      </w:r>
      <w:bookmarkEnd w:id="53"/>
      <w:bookmarkEnd w:id="54"/>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5" w:name="_Toc440372872"/>
      <w:bookmarkStart w:id="56" w:name="_Toc440636383"/>
      <w:r w:rsidRPr="0073389C">
        <w:rPr>
          <w:lang w:val="sk-SK"/>
        </w:rPr>
        <w:t>Oprávnenosť výdavkov</w:t>
      </w:r>
      <w:bookmarkEnd w:id="52"/>
      <w:bookmarkEnd w:id="55"/>
      <w:bookmarkEnd w:id="56"/>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55898E6E"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4"/>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w:t>
      </w:r>
      <w:r w:rsidR="000F5FC0" w:rsidRPr="0073389C">
        <w:lastRenderedPageBreak/>
        <w:t xml:space="preserve">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5"/>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6"/>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w:t>
      </w:r>
      <w:r w:rsidRPr="0073389C">
        <w:lastRenderedPageBreak/>
        <w:t>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7FCB4A8A"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xml:space="preserve">, pokiaľ tento spôsob </w:t>
      </w:r>
      <w:r w:rsidR="004B173C" w:rsidRPr="0073389C">
        <w:lastRenderedPageBreak/>
        <w:t>umožnila výzva/vyzvanie</w:t>
      </w:r>
      <w:r w:rsidRPr="0073389C">
        <w:t>. Výdavky musia byť uhradené prijímateľom a ich uhradenie musí byť doložené najneskôr pred ich predložením na RO</w:t>
      </w:r>
      <w:r w:rsidRPr="0073389C">
        <w:rPr>
          <w:rStyle w:val="Odkaznapoznmkupodiarou"/>
          <w:sz w:val="19"/>
        </w:rPr>
        <w:footnoteReference w:id="17"/>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0EF3F1B3"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14:paraId="7A55CF20" w14:textId="498400EA"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sa účinn</w:t>
      </w:r>
      <w:r w:rsidR="00687044" w:rsidRPr="008F2822">
        <w:rPr>
          <w:sz w:val="18"/>
          <w:szCs w:val="18"/>
        </w:rPr>
        <w:t>osťou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18"/>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lastRenderedPageBreak/>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19"/>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7A55CF3A"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7A55CF3B" w14:textId="1B9DC992"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nevyúčtované zálohové platby a poskytnuté preddavky a výdavky, pri ktorých vzniká náklad budúceho obdobia (tieto sú oprávnené až v momente vzniku nákladu bežného obdobia);</w:t>
      </w:r>
    </w:p>
    <w:p w14:paraId="7A55CF3C" w14:textId="4CE067FB"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14:paraId="7A55CF3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bol uplatnený voči poskytovateľovi na základe zmenených prvotných dokumentov (napr. prezenčná listina, pracovné výkazy a pod.);</w:t>
      </w:r>
    </w:p>
    <w:p w14:paraId="7A55CF3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w:t>
      </w:r>
      <w:r w:rsidRPr="0073389C">
        <w:lastRenderedPageBreak/>
        <w:t xml:space="preserve">obdobia nevyhnutnosti nadväzujúcich jednotlivých aktivít projektu, alebo aktivít iného projektu (napr. v rámci spoločných výziev dvoch, alebo viacerých </w:t>
      </w:r>
      <w:r w:rsidR="006F10E8" w:rsidRPr="0073389C">
        <w:t>OP</w:t>
      </w:r>
      <w:r w:rsidRPr="0073389C">
        <w:t>);</w:t>
      </w:r>
    </w:p>
    <w:p w14:paraId="7A55CF3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nebol prijímateľom preukázaný a uplatnený v žiadosti o platbu (refundáciu/zúčtovanie zálohovej platby/zúčtovanie predfinancovania) najneskôr do</w:t>
      </w:r>
      <w:r w:rsidR="001F3CA3" w:rsidRPr="0073389C">
        <w:t xml:space="preserve"> konca obdobia oprávnenosti</w:t>
      </w:r>
      <w:r w:rsidRPr="0073389C">
        <w:t>;</w:t>
      </w:r>
    </w:p>
    <w:p w14:paraId="7A55CF40" w14:textId="763275C8"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prijímateľa/užívateľa</w:t>
      </w:r>
      <w:r w:rsidR="00AC24B5">
        <w:t xml:space="preserve"> </w:t>
      </w:r>
      <w:r w:rsidRPr="0073389C">
        <w:t>a</w:t>
      </w:r>
      <w:r w:rsidR="00AC24B5">
        <w:t xml:space="preserve"> </w:t>
      </w:r>
      <w:r w:rsidRPr="0073389C">
        <w:t>poskytnutými príspevkami/dotáciami z verejných zdrojov, aj kumulovane;</w:t>
      </w:r>
    </w:p>
    <w:p w14:paraId="49EBDAAF" w14:textId="0A85F400"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t>priame dane</w:t>
      </w:r>
      <w:r w:rsidR="004F28ED">
        <w:rPr>
          <w:rStyle w:val="Odkaznapoznmkupodiarou"/>
          <w:szCs w:val="19"/>
        </w:rPr>
        <w:footnoteReference w:id="20"/>
      </w:r>
      <w:r w:rsidRPr="00EF163F">
        <w:rPr>
          <w:szCs w:val="19"/>
        </w:rPr>
        <w:t xml:space="preserve"> (napr. daň z nehnuteľnosti, daň z motorových vozidiel a pod.)</w:t>
      </w:r>
      <w:r w:rsidR="004F28ED">
        <w:rPr>
          <w:szCs w:val="19"/>
        </w:rPr>
        <w:t>;</w:t>
      </w:r>
    </w:p>
    <w:p w14:paraId="17155B91"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14:paraId="296687A5" w14:textId="77777777"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14:paraId="298BE921" w14:textId="77777777" w:rsidR="00EA4707"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r w:rsidR="00EA4707">
        <w:rPr>
          <w:szCs w:val="19"/>
        </w:rPr>
        <w:t>;</w:t>
      </w:r>
    </w:p>
    <w:p w14:paraId="0AC1A36E" w14:textId="08DD839A" w:rsidR="00D150FE" w:rsidRPr="004F28ED" w:rsidRDefault="00EA4707" w:rsidP="008F19C3">
      <w:pPr>
        <w:pStyle w:val="Odsekzoznamu"/>
        <w:numPr>
          <w:ilvl w:val="0"/>
          <w:numId w:val="7"/>
        </w:numPr>
        <w:spacing w:before="120" w:after="120" w:line="288" w:lineRule="auto"/>
        <w:ind w:left="567" w:hanging="283"/>
        <w:contextualSpacing w:val="0"/>
        <w:jc w:val="both"/>
        <w:rPr>
          <w:szCs w:val="19"/>
        </w:rPr>
      </w:pPr>
      <w:r>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77777777" w:rsidR="00ED03C8" w:rsidRPr="0073389C" w:rsidRDefault="00AE5A8F" w:rsidP="00E61650">
      <w:pPr>
        <w:autoSpaceDE w:val="0"/>
        <w:autoSpaceDN w:val="0"/>
        <w:adjustRightInd w:val="0"/>
        <w:spacing w:before="120" w:after="120" w:line="288" w:lineRule="auto"/>
        <w:jc w:val="both"/>
      </w:pPr>
      <w:r w:rsidRPr="0073389C">
        <w:t xml:space="preserve">Personálne výdavky zahŕňajú výdavky na mzdy zamestnancov, vrátane zákonom stanovených odvodov a ďalších nákladov, ktoré tvoria mzdu a odvody zamestnávateľa. </w:t>
      </w:r>
      <w:r w:rsidR="00ED03C8" w:rsidRPr="0073389C">
        <w:t>Pre personálne výdavky platí, že nesmú presiahnuť výšku obvyklú v danom odbore, čase a mieste a musia byť primerané úlohám a zodpovednostiam osôb zapojených do realizácie projektu.</w:t>
      </w:r>
    </w:p>
    <w:p w14:paraId="7A55CF44" w14:textId="26906AE7" w:rsidR="00ED03C8" w:rsidRPr="0073389C" w:rsidRDefault="00ED03C8" w:rsidP="00E61650">
      <w:pPr>
        <w:autoSpaceDE w:val="0"/>
        <w:autoSpaceDN w:val="0"/>
        <w:adjustRightInd w:val="0"/>
        <w:spacing w:before="120" w:after="120" w:line="288" w:lineRule="auto"/>
        <w:jc w:val="both"/>
      </w:pPr>
      <w:r w:rsidRPr="0073389C">
        <w:t>V prípade personálnych výdavkov je nevyhnutné, aby prijímateľ rešpektoval odmeňovanie jednotlivých pracovných pozícií s ohľadom na jeho predchádzajúcu mzdovú politiku,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prác vykonávaných na projekte financovanom 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rovnakej práce vykonávanej mimo projektu. Zároveň je prijímateľ povinný preukázať, že zamestnanec, ktorého mzdové výdavky sú predmetom financovania z EŠIF má pre danú pracovnú pozíciu alebo pre práce vykonávané na projekte potrebnú kvalifikáciu a odbornú spôsobilosť.</w:t>
      </w:r>
    </w:p>
    <w:p w14:paraId="7A55CF45" w14:textId="59BEFE0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14:paraId="7A55CF48" w14:textId="48206030" w:rsidR="00AE5A8F" w:rsidRPr="0073389C" w:rsidRDefault="00AE5A8F" w:rsidP="0067438F">
      <w:pPr>
        <w:autoSpaceDE w:val="0"/>
        <w:autoSpaceDN w:val="0"/>
        <w:adjustRightInd w:val="0"/>
        <w:spacing w:before="120" w:after="120" w:line="288" w:lineRule="auto"/>
        <w:jc w:val="both"/>
      </w:pPr>
      <w:r w:rsidRPr="0073389C">
        <w:lastRenderedPageBreak/>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7A55CF4A" w14:textId="1D16EC07"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7777777"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o vykonaní práce 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1"/>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V prípade zamestnávania osôb pre účely realizácie projektu rozlišujeme dve alternatívy:</w:t>
      </w:r>
    </w:p>
    <w:p w14:paraId="7A55CF53" w14:textId="77777777" w:rsidR="00ED03C8" w:rsidRPr="0073389C" w:rsidRDefault="00ED03C8" w:rsidP="009A78AB">
      <w:pPr>
        <w:pStyle w:val="Zoznamsodrkami"/>
        <w:numPr>
          <w:ilvl w:val="0"/>
          <w:numId w:val="33"/>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plný pracovný úväzok</w:t>
      </w:r>
      <w:r w:rsidRPr="0073389C">
        <w:rPr>
          <w:rStyle w:val="Odkaznapoznmkupodiarou"/>
          <w:rFonts w:cs="Arial"/>
          <w:b/>
          <w:sz w:val="19"/>
          <w:szCs w:val="19"/>
        </w:rPr>
        <w:footnoteReference w:id="22"/>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68489E0E" w:rsidR="00ED03C8" w:rsidRPr="0073389C" w:rsidRDefault="00ED03C8" w:rsidP="0067438F">
      <w:pPr>
        <w:pStyle w:val="Zoznamsodrkami2"/>
        <w:numPr>
          <w:ilvl w:val="0"/>
          <w:numId w:val="0"/>
        </w:numPr>
        <w:spacing w:before="120" w:after="120" w:line="288" w:lineRule="auto"/>
        <w:ind w:left="567"/>
        <w:contextualSpacing w:val="0"/>
        <w:jc w:val="both"/>
      </w:pPr>
      <w:r w:rsidRPr="0073389C">
        <w:t>zamestnanec vykonáva počas celej pracovnej doby (resp. počas celého pracovného času) činnosti týkajúce sa výlučne aktivít na projekte a žiadne iné aktivity mimo projektu. V tomto prípade sú oprávnené výdavky za všetky zložky mzdy vrátane príplatkov</w:t>
      </w:r>
      <w:r w:rsidRPr="0073389C">
        <w:rPr>
          <w:rStyle w:val="Odkaznapoznmkupodiarou"/>
          <w:sz w:val="19"/>
        </w:rPr>
        <w:footnoteReference w:id="23"/>
      </w:r>
      <w:r w:rsidRPr="0073389C">
        <w:t>, resp. odmeny na základe dohôd o prác</w:t>
      </w:r>
      <w:r w:rsidR="001F6828">
        <w:t>i</w:t>
      </w:r>
      <w:r w:rsidRPr="0073389C">
        <w:t xml:space="preserve"> </w:t>
      </w:r>
      <w:r w:rsidR="001F6828" w:rsidRPr="0073389C">
        <w:t>vykonávan</w:t>
      </w:r>
      <w:r w:rsidR="001F6828">
        <w:t>ej</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4"/>
      </w:r>
      <w:r w:rsidR="00694363" w:rsidRPr="0073389C">
        <w:t>),</w:t>
      </w:r>
      <w:r w:rsidRPr="0073389C">
        <w:t xml:space="preserve"> ako aj povinné odvody</w:t>
      </w:r>
      <w:r w:rsidRPr="0073389C">
        <w:rPr>
          <w:rStyle w:val="Odkaznapoznmkupodiarou"/>
          <w:sz w:val="19"/>
        </w:rPr>
        <w:footnoteReference w:id="25"/>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9A78AB">
      <w:pPr>
        <w:pStyle w:val="Zoznamsodrkami"/>
        <w:numPr>
          <w:ilvl w:val="0"/>
          <w:numId w:val="33"/>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081E13C7" w:rsidR="004E646D" w:rsidRDefault="00ED03C8" w:rsidP="0067438F">
      <w:pPr>
        <w:pStyle w:val="Zoznamsodrkami2"/>
        <w:numPr>
          <w:ilvl w:val="0"/>
          <w:numId w:val="0"/>
        </w:numPr>
        <w:spacing w:before="120" w:after="120" w:line="288" w:lineRule="auto"/>
        <w:ind w:left="567"/>
        <w:contextualSpacing w:val="0"/>
        <w:jc w:val="both"/>
      </w:pPr>
      <w:r w:rsidRPr="0073389C">
        <w:t>celkový pracovný čas zamestnanca je rozdelený na aktivity pre projekt/projekty spolufinancovaný/é z EŠIF a na aktivity mimo EŠIF. V tomto prípade sú oprávnené výdavky za všetky zložky mzdy vrátane príplatkov</w:t>
      </w:r>
      <w:r w:rsidRPr="0073389C">
        <w:rPr>
          <w:rStyle w:val="Odkaznapoznmkupodiarou"/>
          <w:sz w:val="19"/>
        </w:rPr>
        <w:footnoteReference w:id="26"/>
      </w:r>
      <w:r w:rsidRPr="0073389C">
        <w:t xml:space="preserve">, resp. odmeny na základe dohôd o </w:t>
      </w:r>
      <w:r w:rsidR="001F6828" w:rsidRPr="0073389C">
        <w:t>prác</w:t>
      </w:r>
      <w:r w:rsidR="001F6828">
        <w:t>i</w:t>
      </w:r>
      <w:r w:rsidR="001F6828" w:rsidRPr="0073389C">
        <w:t xml:space="preserve"> vykonávan</w:t>
      </w:r>
      <w:r w:rsidR="001F6828">
        <w:t>ej</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27"/>
      </w:r>
      <w:r w:rsidRPr="0073389C">
        <w:t>), ako aj povinné odvody za zamestnávateľa</w:t>
      </w:r>
      <w:r w:rsidRPr="0073389C">
        <w:rPr>
          <w:rStyle w:val="Odkaznapoznmkupodiarou"/>
          <w:sz w:val="19"/>
        </w:rPr>
        <w:footnoteReference w:id="28"/>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 xml:space="preserve">nie </w:t>
      </w:r>
      <w:r w:rsidR="004E646D" w:rsidRPr="003A141C">
        <w:lastRenderedPageBreak/>
        <w:t>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6D346B8A" w14:textId="72AC8163"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29"/>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3EBF52D" w:rsidR="009B4AEF" w:rsidRPr="009B4AEF" w:rsidRDefault="009B4AEF" w:rsidP="00B573C4">
      <w:pPr>
        <w:pStyle w:val="Odsekzoznamu"/>
        <w:numPr>
          <w:ilvl w:val="0"/>
          <w:numId w:val="100"/>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plný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1B65D0CA" w:rsidR="009B4AEF" w:rsidRPr="009B4AEF" w:rsidRDefault="009B4AEF" w:rsidP="00B573C4">
      <w:pPr>
        <w:pStyle w:val="Odsekzoznamu"/>
        <w:numPr>
          <w:ilvl w:val="0"/>
          <w:numId w:val="100"/>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0"/>
      </w:r>
      <w:r w:rsidRPr="009B4AEF">
        <w:rPr>
          <w:rFonts w:cs="Arial"/>
          <w:color w:val="000000"/>
          <w:szCs w:val="19"/>
          <w:lang w:eastAsia="en-AU"/>
        </w:rPr>
        <w:t xml:space="preserve"> je oprávnená maximálne do výšky 30% súčtu funkčných platov/miezd uvedených v platových dekrétoch (bez odmien) za predchádzajúcich 6 mesiacov (vrátane mesiaca, keď je odmena priznaná)</w:t>
      </w:r>
      <w:r w:rsidRPr="009B4AEF">
        <w:rPr>
          <w:rStyle w:val="Odkaznapoznmkupodiarou"/>
          <w:rFonts w:cs="Arial"/>
          <w:color w:val="000000"/>
          <w:sz w:val="19"/>
          <w:szCs w:val="19"/>
          <w:lang w:eastAsia="en-AU"/>
        </w:rPr>
        <w:footnoteReference w:id="31"/>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2"/>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14:paraId="7A55CFA8" w14:textId="2AA5EC20" w:rsidR="006E114F" w:rsidRPr="0073389C" w:rsidRDefault="009B4AEF" w:rsidP="00B573C4">
      <w:pPr>
        <w:pStyle w:val="Zkladntext"/>
        <w:numPr>
          <w:ilvl w:val="0"/>
          <w:numId w:val="100"/>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w:t>
      </w:r>
      <w:r w:rsidRPr="0073389C">
        <w:rPr>
          <w:rFonts w:ascii="Arial" w:hAnsi="Arial" w:cs="Arial"/>
          <w:sz w:val="19"/>
          <w:szCs w:val="19"/>
          <w:lang w:val="sk-SK"/>
        </w:rPr>
        <w:lastRenderedPageBreak/>
        <w:t xml:space="preserve">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33"/>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03B927BC" w:rsidR="00C41F25" w:rsidRPr="0073389C"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v bode 18 tejto kapitoly</w:t>
      </w:r>
      <w:r w:rsidR="00CC7DDB">
        <w:t>.</w:t>
      </w: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34"/>
      </w:r>
    </w:p>
    <w:p w14:paraId="7A55CFB2" w14:textId="6DAE5B74"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Cestovné náhrady sú oprávnenými výdavkami vo výške a za podmienok, ktoré stanovuje zákon o cestovných náhradách, prípadne interná norma organizácie prijímateľa.</w:t>
      </w:r>
      <w:r w:rsidRPr="0073389C">
        <w:t xml:space="preserve"> </w:t>
      </w:r>
    </w:p>
    <w:p w14:paraId="7A55CFB3" w14:textId="7135FCC2"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w:t>
      </w:r>
      <w:r w:rsidRPr="0073389C">
        <w:rPr>
          <w:rFonts w:ascii="Arial" w:hAnsi="Arial" w:cs="Arial"/>
          <w:sz w:val="19"/>
          <w:szCs w:val="19"/>
        </w:rPr>
        <w:lastRenderedPageBreak/>
        <w:t>vykonané osobami, ktoré sa na realizácii projektu podieľajú 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2B85E02E"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77777777"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F6F2DA6"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DD78AC">
        <w:t>2</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DD78AC">
        <w:t>2</w:t>
      </w:r>
      <w:r w:rsidR="00684752" w:rsidRPr="0073389C">
        <w:t xml:space="preserve">. triedu + miestenka, preplatí </w:t>
      </w:r>
      <w:r w:rsidR="00DD78AC" w:rsidRPr="0073389C">
        <w:t xml:space="preserve">sa </w:t>
      </w:r>
      <w:r w:rsidR="00684752" w:rsidRPr="0073389C">
        <w:t>cena letenky.</w:t>
      </w:r>
    </w:p>
    <w:p w14:paraId="7A55CFBE" w14:textId="053E0362"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dohodne so zamestnávateľom, že pri pracovnej ceste použije </w:t>
      </w:r>
      <w:r w:rsidR="00B958F0">
        <w:t xml:space="preserve">vlastné </w:t>
      </w:r>
      <w:r w:rsidRPr="0073389C">
        <w:t>cestné motorové vozidlo, oprávnené výdavky sa určia len do výšky výdavkov na cestovné verejnou dopravou. Nárok na úhradu cestovného má iba vodič motorového vozidla, t.</w:t>
      </w:r>
      <w:r w:rsidR="00560345">
        <w:t xml:space="preserve"> </w:t>
      </w:r>
      <w:r w:rsidRPr="0073389C">
        <w:t>j. ak sú v motorovom vozidle viaceré osoby, nárok na úhradu má iba jedna osoba - vodič motorového vozidla.</w:t>
      </w:r>
    </w:p>
    <w:p w14:paraId="7A55CFBF" w14:textId="24E7621B"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 xml:space="preserve">napr. náklady na použitie taxi služby vynaložené osobou so zdravotným postihnutím; skoré odchody a/alebo neskoré príchody, kedy už nepremávajú žiadne letiskové autobusy </w:t>
      </w:r>
      <w:r w:rsidR="00B958F0" w:rsidRPr="00C2664E">
        <w:rPr>
          <w:rFonts w:cs="Arial"/>
          <w:szCs w:val="19"/>
        </w:rPr>
        <w:lastRenderedPageBreak/>
        <w:t>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20"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35"/>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36"/>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37"/>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38"/>
      </w:r>
      <w:r w:rsidRPr="00B13AD8">
        <w:rPr>
          <w:rFonts w:cs="Arial"/>
          <w:szCs w:val="19"/>
        </w:rPr>
        <w:t>, ktorá zahŕňa výdavky na ubytovanie, stravné a cestovné v SR</w:t>
      </w:r>
      <w:r w:rsidRPr="00B13AD8">
        <w:rPr>
          <w:rStyle w:val="Odkaznapoznmkupodiarou"/>
          <w:rFonts w:cs="Arial"/>
          <w:sz w:val="19"/>
          <w:szCs w:val="19"/>
        </w:rPr>
        <w:footnoteReference w:id="39"/>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40"/>
      </w:r>
      <w:r w:rsidRPr="00B13AD8">
        <w:rPr>
          <w:rFonts w:cs="Arial"/>
          <w:szCs w:val="19"/>
        </w:rPr>
        <w:t xml:space="preserve">, príp. </w:t>
      </w:r>
      <w:r w:rsidRPr="00B13AD8">
        <w:rPr>
          <w:rFonts w:cs="Arial"/>
          <w:szCs w:val="19"/>
        </w:rPr>
        <w:lastRenderedPageBreak/>
        <w:t>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1"/>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Výdavky na občerstvenie</w:t>
      </w:r>
    </w:p>
    <w:p w14:paraId="7A55CFC7" w14:textId="1AF5C68F" w:rsidR="00263750" w:rsidRPr="0073389C"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 </w:t>
      </w:r>
    </w:p>
    <w:p w14:paraId="7A55CFC8" w14:textId="1963CF1B"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2"/>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43"/>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/ov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44"/>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pravidlám oprávnenosti pre </w:t>
      </w:r>
      <w:r w:rsidR="00DA0EED" w:rsidRPr="009258CF">
        <w:rPr>
          <w:color w:val="000000"/>
          <w:sz w:val="19"/>
          <w:szCs w:val="19"/>
        </w:rPr>
        <w:t>najčastejšie sa vyskytujúce skupiny výdavkov</w:t>
      </w:r>
      <w:r w:rsidR="002F183D" w:rsidRPr="009258CF">
        <w:rPr>
          <w:rFonts w:cs="Arial"/>
          <w:color w:val="auto"/>
          <w:sz w:val="19"/>
          <w:szCs w:val="19"/>
          <w:lang w:val="sk-SK"/>
        </w:rPr>
        <w:t>, ktorý je zverejnený na webovom sídle</w:t>
      </w:r>
      <w:r w:rsidR="002F183D" w:rsidRPr="009258CF">
        <w:rPr>
          <w:rFonts w:cs="Arial"/>
          <w:color w:val="000000" w:themeColor="text1"/>
          <w:sz w:val="19"/>
          <w:szCs w:val="19"/>
          <w:lang w:val="sk-SK"/>
        </w:rPr>
        <w:t xml:space="preserve"> </w:t>
      </w:r>
      <w:hyperlink r:id="rId22"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lastRenderedPageBreak/>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45"/>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303FECAC"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EF3696">
        <w:rPr>
          <w:rFonts w:cs="Arial"/>
          <w:b w:val="0"/>
          <w:color w:val="auto"/>
          <w:sz w:val="19"/>
          <w:szCs w:val="19"/>
          <w:lang w:val="sk-SK"/>
        </w:rPr>
        <w:t>projek</w:t>
      </w:r>
      <w:r w:rsidRPr="00B573C4">
        <w:rPr>
          <w:rFonts w:cs="Arial"/>
          <w:b w:val="0"/>
          <w:color w:val="auto"/>
          <w:szCs w:val="19"/>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Odpisy hmotného a nehmotného majetku</w:t>
      </w:r>
    </w:p>
    <w:p w14:paraId="7A55CFF0" w14:textId="6662A0C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akýchkoľvek 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46"/>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w:t>
      </w:r>
      <w:r w:rsidRPr="0073389C">
        <w:rPr>
          <w:rFonts w:cs="Arial"/>
          <w:b w:val="0"/>
          <w:color w:val="auto"/>
          <w:sz w:val="19"/>
          <w:szCs w:val="19"/>
          <w:lang w:val="sk-SK"/>
        </w:rPr>
        <w:lastRenderedPageBreak/>
        <w:t xml:space="preserve">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47"/>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14:paraId="7A55CFF6"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48"/>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49"/>
      </w:r>
      <w:r w:rsidRPr="0073389C">
        <w:rPr>
          <w:rFonts w:ascii="Arial" w:hAnsi="Arial" w:cs="Arial"/>
          <w:sz w:val="19"/>
          <w:szCs w:val="19"/>
        </w:rPr>
        <w:t xml:space="preserve">); </w:t>
      </w:r>
    </w:p>
    <w:p w14:paraId="7A55CFF7"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77777777" w:rsidR="00263750" w:rsidRPr="0073389C" w:rsidRDefault="00263750" w:rsidP="009A78AB">
      <w:pPr>
        <w:pStyle w:val="Zoznamsodrkami"/>
        <w:numPr>
          <w:ilvl w:val="0"/>
          <w:numId w:val="35"/>
        </w:numPr>
        <w:spacing w:before="120" w:after="120" w:line="288" w:lineRule="auto"/>
        <w:ind w:left="567" w:hanging="283"/>
        <w:rPr>
          <w:rFonts w:ascii="Arial" w:hAnsi="Arial" w:cs="Arial"/>
          <w:sz w:val="19"/>
          <w:szCs w:val="19"/>
        </w:rPr>
      </w:pPr>
      <w:r w:rsidRPr="0073389C">
        <w:rPr>
          <w:rFonts w:ascii="Arial" w:hAnsi="Arial" w:cs="Arial"/>
          <w:sz w:val="19"/>
          <w:szCs w:val="19"/>
        </w:rPr>
        <w:t>odpisovaný majetok nebol nadobudnutý 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9A78AB">
      <w:pPr>
        <w:pStyle w:val="Odsekzoznamu"/>
        <w:numPr>
          <w:ilvl w:val="0"/>
          <w:numId w:val="84"/>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obstarávacia cena</w:t>
      </w:r>
      <w:r w:rsidRPr="0073389C">
        <w:rPr>
          <w:rStyle w:val="Odkaznapoznmkupodiarou"/>
          <w:sz w:val="19"/>
        </w:rPr>
        <w:footnoteReference w:id="50"/>
      </w:r>
      <w:r w:rsidRPr="0073389C">
        <w:t xml:space="preserve"> použitého zariadenia je nižšia ako výdavky na obdobné nové zariadenie; </w:t>
      </w:r>
    </w:p>
    <w:p w14:paraId="7A55D02F"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51"/>
      </w:r>
      <w:r w:rsidRPr="0073389C">
        <w:t xml:space="preserve">; </w:t>
      </w:r>
    </w:p>
    <w:p w14:paraId="7A55D031"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9A78AB">
      <w:pPr>
        <w:pStyle w:val="Odsekzoznamu"/>
        <w:numPr>
          <w:ilvl w:val="2"/>
          <w:numId w:val="36"/>
        </w:numPr>
        <w:spacing w:before="120" w:after="120" w:line="288" w:lineRule="auto"/>
        <w:ind w:left="567" w:hanging="283"/>
        <w:contextualSpacing w:val="0"/>
        <w:jc w:val="both"/>
      </w:pPr>
      <w:r w:rsidRPr="0073389C">
        <w:t xml:space="preserve">súčasný, či niektorý z predchádzajúcich vlastníkov zariadenia nezískal pred predložením žiadosti o NFP príspevok z verejných zdrojov na nákup daného použitého zariadenia, čo by v prípade </w:t>
      </w:r>
      <w:r w:rsidRPr="0073389C">
        <w:lastRenderedPageBreak/>
        <w:t>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9A78AB">
      <w:pPr>
        <w:pStyle w:val="Highlight3"/>
        <w:numPr>
          <w:ilvl w:val="0"/>
          <w:numId w:val="84"/>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52"/>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9A78AB">
      <w:pPr>
        <w:numPr>
          <w:ilvl w:val="0"/>
          <w:numId w:val="84"/>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53"/>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54"/>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9A78AB">
      <w:pPr>
        <w:pStyle w:val="Highlight3"/>
        <w:numPr>
          <w:ilvl w:val="0"/>
          <w:numId w:val="84"/>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55"/>
      </w:r>
    </w:p>
    <w:p w14:paraId="7A55D049" w14:textId="7AD7A2CA"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lastRenderedPageBreak/>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3C3C9C31" w14:textId="77777777" w:rsidR="00B449FC" w:rsidRDefault="00B449FC" w:rsidP="00B449FC">
      <w:pPr>
        <w:pStyle w:val="Odsekzoznamu"/>
        <w:spacing w:before="120" w:after="120" w:line="288" w:lineRule="auto"/>
        <w:ind w:left="426"/>
        <w:contextualSpacing w:val="0"/>
        <w:jc w:val="both"/>
        <w:rPr>
          <w:b/>
        </w:rPr>
      </w:pPr>
    </w:p>
    <w:p w14:paraId="7A55D04F" w14:textId="77777777" w:rsidR="00AE5A8F" w:rsidRPr="0073389C" w:rsidRDefault="00AE5A8F" w:rsidP="009A78AB">
      <w:pPr>
        <w:pStyle w:val="Odsekzoznamu"/>
        <w:numPr>
          <w:ilvl w:val="0"/>
          <w:numId w:val="84"/>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56"/>
      </w:r>
      <w:r w:rsidRPr="0073389C">
        <w:rPr>
          <w:rFonts w:ascii="Arial" w:hAnsi="Arial" w:cs="Arial"/>
          <w:sz w:val="19"/>
          <w:szCs w:val="19"/>
        </w:rPr>
        <w:t xml:space="preserve">; </w:t>
      </w:r>
    </w:p>
    <w:p w14:paraId="7A55D058"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57"/>
      </w:r>
      <w:r w:rsidRPr="0073389C">
        <w:rPr>
          <w:rFonts w:ascii="Arial" w:hAnsi="Arial" w:cs="Arial"/>
          <w:sz w:val="19"/>
          <w:szCs w:val="19"/>
        </w:rPr>
        <w:t>;</w:t>
      </w:r>
    </w:p>
    <w:p w14:paraId="7A55D059" w14:textId="77777777" w:rsidR="00C92A1F" w:rsidRPr="0073389C" w:rsidRDefault="00C92A1F" w:rsidP="009A78AB">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58"/>
      </w:r>
      <w:r w:rsidRPr="0073389C">
        <w:rPr>
          <w:rFonts w:ascii="Arial" w:hAnsi="Arial" w:cs="Arial"/>
          <w:sz w:val="19"/>
          <w:szCs w:val="19"/>
        </w:rPr>
        <w:t xml:space="preserve">. </w:t>
      </w:r>
    </w:p>
    <w:p w14:paraId="7A55D05A" w14:textId="77777777" w:rsidR="00C92A1F" w:rsidRPr="0073389C" w:rsidRDefault="00C92A1F" w:rsidP="00D20FD8">
      <w:pPr>
        <w:pStyle w:val="Zkladntext"/>
        <w:spacing w:before="120" w:after="120" w:line="288" w:lineRule="auto"/>
        <w:ind w:left="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AC7621">
      <w:pPr>
        <w:pStyle w:val="Textkomentra"/>
        <w:jc w:val="both"/>
        <w:rPr>
          <w:rFonts w:cs="Arial"/>
          <w:sz w:val="19"/>
          <w:szCs w:val="19"/>
          <w:lang w:val="sk-SK"/>
        </w:rPr>
      </w:pPr>
      <w:r w:rsidRPr="0073389C">
        <w:rPr>
          <w:rFonts w:cs="Arial"/>
          <w:sz w:val="19"/>
          <w:szCs w:val="19"/>
        </w:rPr>
        <w:t xml:space="preserve">Nadobudnutý </w:t>
      </w:r>
      <w:r w:rsidR="00044512" w:rsidRPr="0073389C">
        <w:rPr>
          <w:rFonts w:cs="Arial"/>
          <w:sz w:val="19"/>
          <w:szCs w:val="19"/>
        </w:rPr>
        <w:t xml:space="preserve">dlhodobý </w:t>
      </w:r>
      <w:r w:rsidRPr="0073389C">
        <w:rPr>
          <w:rFonts w:cs="Arial"/>
          <w:sz w:val="19"/>
          <w:szCs w:val="19"/>
        </w:rPr>
        <w:t xml:space="preserve">majetok/zhodnotený majetok (hlavná položka 2. Zariadenie/vybavenie </w:t>
      </w:r>
      <w:r w:rsidR="00BF0A2A" w:rsidRPr="0073389C">
        <w:rPr>
          <w:rFonts w:cs="Arial"/>
          <w:sz w:val="19"/>
          <w:szCs w:val="19"/>
        </w:rPr>
        <w:t>projektu</w:t>
      </w:r>
      <w:r w:rsidRPr="0073389C">
        <w:rPr>
          <w:rFonts w:cs="Arial"/>
          <w:sz w:val="19"/>
          <w:szCs w:val="19"/>
        </w:rPr>
        <w:t xml:space="preserve">) v hodnote rovnej alebo vyššej ako </w:t>
      </w:r>
      <w:r w:rsidR="008324CE" w:rsidRPr="0073389C">
        <w:rPr>
          <w:rFonts w:cs="Arial"/>
          <w:sz w:val="19"/>
          <w:szCs w:val="19"/>
        </w:rPr>
        <w:t>4</w:t>
      </w:r>
      <w:r w:rsidRPr="0073389C">
        <w:rPr>
          <w:rFonts w:cs="Arial"/>
          <w:sz w:val="19"/>
          <w:szCs w:val="19"/>
        </w:rPr>
        <w:t>0,00 EUR je prijímateľ povinný poistiť</w:t>
      </w:r>
      <w:r w:rsidR="00AC7621">
        <w:rPr>
          <w:rFonts w:cs="Arial"/>
          <w:sz w:val="19"/>
          <w:szCs w:val="19"/>
          <w:lang w:val="sk-SK"/>
        </w:rPr>
        <w:t xml:space="preserve">. </w:t>
      </w:r>
      <w:r w:rsidRPr="0073389C">
        <w:rPr>
          <w:rFonts w:cs="Arial"/>
          <w:sz w:val="19"/>
          <w:szCs w:val="19"/>
        </w:rPr>
        <w:t xml:space="preserve"> </w:t>
      </w:r>
      <w:r w:rsidR="00AC7621">
        <w:rPr>
          <w:lang w:val="sk-SK"/>
        </w:rPr>
        <w:t xml:space="preserve"> </w:t>
      </w:r>
      <w:r w:rsidR="00AC7621" w:rsidRPr="004F11B5">
        <w:rPr>
          <w:rFonts w:cs="Arial"/>
          <w:sz w:val="19"/>
          <w:szCs w:val="19"/>
          <w:lang w:val="sk-SK"/>
        </w:rPr>
        <w:t>Výnimk</w:t>
      </w:r>
      <w:r w:rsidR="00AC7621">
        <w:rPr>
          <w:rFonts w:cs="Arial"/>
          <w:sz w:val="19"/>
          <w:szCs w:val="19"/>
          <w:lang w:val="sk-SK"/>
        </w:rPr>
        <w:t>a</w:t>
      </w:r>
      <w:r w:rsidR="00AC7621" w:rsidRPr="004F11B5">
        <w:rPr>
          <w:rFonts w:cs="Arial"/>
          <w:sz w:val="19"/>
          <w:szCs w:val="19"/>
          <w:lang w:val="sk-SK"/>
        </w:rPr>
        <w:t xml:space="preserve"> na povinnosť poistenia je možná vo vzťahu k poistným rizikám a poistnej sume, napr. ak sa právo alebo majetková hodnota nedá poistiť fakticky</w:t>
      </w:r>
      <w:r w:rsidR="00AC7621">
        <w:rPr>
          <w:rFonts w:cs="Arial"/>
          <w:sz w:val="19"/>
          <w:szCs w:val="19"/>
          <w:lang w:val="sk-SK"/>
        </w:rPr>
        <w:t xml:space="preserve"> (</w:t>
      </w:r>
      <w:r w:rsidR="00AC7621" w:rsidRPr="004F11B5">
        <w:rPr>
          <w:rFonts w:cs="Arial"/>
          <w:sz w:val="19"/>
          <w:szCs w:val="19"/>
          <w:lang w:val="sk-SK"/>
        </w:rPr>
        <w:t>napr. software, licencie na predmety priemyselného vlastníctva</w:t>
      </w:r>
      <w:r w:rsidR="00AC7621">
        <w:rPr>
          <w:rFonts w:cs="Arial"/>
          <w:sz w:val="19"/>
          <w:szCs w:val="19"/>
          <w:lang w:val="sk-SK"/>
        </w:rPr>
        <w:t xml:space="preserve"> atď)</w:t>
      </w:r>
      <w:r w:rsidR="00AC7621" w:rsidRPr="004F11B5">
        <w:rPr>
          <w:rFonts w:cs="Arial"/>
          <w:sz w:val="19"/>
          <w:szCs w:val="19"/>
          <w:lang w:val="sk-SK"/>
        </w:rPr>
        <w:t xml:space="preserve"> alebo z ekonomických dôvodov (výška poistného je likvidačná) .</w:t>
      </w:r>
    </w:p>
    <w:p w14:paraId="1A003F54" w14:textId="77777777" w:rsidR="00AC7621" w:rsidRPr="004F11B5" w:rsidRDefault="00AC7621" w:rsidP="00AC7621">
      <w:pPr>
        <w:pStyle w:val="Textkomentra"/>
        <w:jc w:val="both"/>
        <w:rPr>
          <w:rFonts w:cs="Arial"/>
          <w:sz w:val="19"/>
          <w:szCs w:val="19"/>
          <w:lang w:val="sk-SK"/>
        </w:rPr>
      </w:pPr>
      <w:r>
        <w:rPr>
          <w:rFonts w:cs="Arial"/>
          <w:sz w:val="19"/>
          <w:szCs w:val="19"/>
          <w:lang w:val="sk-SK"/>
        </w:rPr>
        <w:t>Od v</w:t>
      </w:r>
      <w:r w:rsidRPr="004F11B5">
        <w:rPr>
          <w:rFonts w:cs="Arial"/>
          <w:sz w:val="19"/>
          <w:szCs w:val="19"/>
          <w:lang w:val="sk-SK"/>
        </w:rPr>
        <w:t>šeobecnej povinnosti poistenia</w:t>
      </w:r>
      <w:r>
        <w:rPr>
          <w:rFonts w:cs="Arial"/>
          <w:sz w:val="19"/>
          <w:szCs w:val="19"/>
          <w:lang w:val="sk-SK"/>
        </w:rPr>
        <w:t xml:space="preserve"> majetku</w:t>
      </w:r>
      <w:r w:rsidRPr="004F11B5">
        <w:rPr>
          <w:rFonts w:cs="Arial"/>
          <w:sz w:val="19"/>
          <w:szCs w:val="19"/>
          <w:lang w:val="sk-SK"/>
        </w:rPr>
        <w:t xml:space="preserve"> sú </w:t>
      </w:r>
      <w:r>
        <w:rPr>
          <w:rFonts w:cs="Arial"/>
          <w:sz w:val="19"/>
          <w:szCs w:val="19"/>
          <w:lang w:val="sk-SK"/>
        </w:rPr>
        <w:t>oslobodení prijímatelia -</w:t>
      </w:r>
      <w:r w:rsidRPr="004F11B5">
        <w:rPr>
          <w:rFonts w:cs="Arial"/>
          <w:sz w:val="19"/>
          <w:szCs w:val="19"/>
          <w:lang w:val="sk-SK"/>
        </w:rPr>
        <w:t xml:space="preserve"> </w:t>
      </w:r>
      <w:r>
        <w:rPr>
          <w:rFonts w:cs="Arial"/>
          <w:sz w:val="19"/>
          <w:szCs w:val="19"/>
          <w:lang w:val="sk-SK"/>
        </w:rPr>
        <w:t xml:space="preserve">orgány </w:t>
      </w:r>
      <w:r w:rsidRPr="004F11B5">
        <w:rPr>
          <w:rFonts w:cs="Arial"/>
          <w:sz w:val="19"/>
          <w:szCs w:val="19"/>
          <w:lang w:val="sk-SK"/>
        </w:rPr>
        <w:t>štátne</w:t>
      </w:r>
      <w:r>
        <w:rPr>
          <w:rFonts w:cs="Arial"/>
          <w:sz w:val="19"/>
          <w:szCs w:val="19"/>
          <w:lang w:val="sk-SK"/>
        </w:rPr>
        <w:t>j</w:t>
      </w:r>
      <w:r w:rsidRPr="004F11B5">
        <w:rPr>
          <w:rFonts w:cs="Arial"/>
          <w:sz w:val="19"/>
          <w:szCs w:val="19"/>
          <w:lang w:val="sk-SK"/>
        </w:rPr>
        <w:t xml:space="preserve"> </w:t>
      </w:r>
      <w:r>
        <w:rPr>
          <w:rFonts w:cs="Arial"/>
          <w:sz w:val="19"/>
          <w:szCs w:val="19"/>
          <w:lang w:val="sk-SK"/>
        </w:rPr>
        <w:t>správy</w:t>
      </w:r>
      <w:r w:rsidRPr="004F11B5">
        <w:rPr>
          <w:rFonts w:cs="Arial"/>
          <w:sz w:val="19"/>
          <w:szCs w:val="19"/>
          <w:lang w:val="sk-SK"/>
        </w:rPr>
        <w:t>,</w:t>
      </w:r>
      <w:r>
        <w:rPr>
          <w:rFonts w:cs="Arial"/>
          <w:sz w:val="19"/>
          <w:szCs w:val="19"/>
          <w:lang w:val="sk-SK"/>
        </w:rPr>
        <w:t xml:space="preserve"> ktorí pri rovnakom alebo obdobnom majetku ako nadobudli alebo zhodnotili z projektu, nikdy</w:t>
      </w:r>
      <w:r w:rsidRPr="004F11B5">
        <w:rPr>
          <w:rFonts w:cs="Arial"/>
          <w:sz w:val="19"/>
          <w:szCs w:val="19"/>
          <w:lang w:val="sk-SK"/>
        </w:rPr>
        <w:t xml:space="preserve"> nevyužívajú inštitút poistenia. V prípade, že </w:t>
      </w:r>
      <w:r>
        <w:rPr>
          <w:rFonts w:cs="Arial"/>
          <w:sz w:val="19"/>
          <w:szCs w:val="19"/>
          <w:lang w:val="sk-SK"/>
        </w:rPr>
        <w:t xml:space="preserve">prijímatelia </w:t>
      </w:r>
      <w:r w:rsidRPr="004F11B5">
        <w:rPr>
          <w:rFonts w:cs="Arial"/>
          <w:sz w:val="19"/>
          <w:szCs w:val="19"/>
          <w:lang w:val="sk-SK"/>
        </w:rPr>
        <w:t>využijú možnosť nepoistiť majetok</w:t>
      </w:r>
      <w:r>
        <w:rPr>
          <w:rFonts w:cs="Arial"/>
          <w:sz w:val="19"/>
          <w:szCs w:val="19"/>
          <w:lang w:val="sk-SK"/>
        </w:rPr>
        <w:t xml:space="preserve"> podľa predchádzajúcej vety</w:t>
      </w:r>
      <w:r w:rsidRPr="004F11B5">
        <w:rPr>
          <w:rFonts w:cs="Arial"/>
          <w:sz w:val="19"/>
          <w:szCs w:val="19"/>
          <w:lang w:val="sk-SK"/>
        </w:rPr>
        <w:t>, musia si byť vedom</w:t>
      </w:r>
      <w:r>
        <w:rPr>
          <w:rFonts w:cs="Arial"/>
          <w:sz w:val="19"/>
          <w:szCs w:val="19"/>
          <w:lang w:val="sk-SK"/>
        </w:rPr>
        <w:t>í</w:t>
      </w:r>
      <w:r w:rsidRPr="004F11B5">
        <w:rPr>
          <w:rFonts w:cs="Arial"/>
          <w:sz w:val="19"/>
          <w:szCs w:val="19"/>
          <w:lang w:val="sk-SK"/>
        </w:rPr>
        <w:t>, že v prípade poškodenia, krádeže a pod. majú povinnosť náhrady majetku z vlastných zdrojov.</w:t>
      </w:r>
    </w:p>
    <w:p w14:paraId="7A55D05B" w14:textId="7B8F62F8" w:rsidR="00C92A1F" w:rsidRPr="0073389C" w:rsidRDefault="00C92A1F" w:rsidP="001F73A1">
      <w:pPr>
        <w:pStyle w:val="Zoznamsodrkami"/>
        <w:spacing w:before="120" w:after="120" w:line="288" w:lineRule="auto"/>
        <w:rPr>
          <w:rFonts w:ascii="Arial" w:hAnsi="Arial" w:cs="Arial"/>
          <w:sz w:val="19"/>
          <w:szCs w:val="19"/>
        </w:rPr>
      </w:pP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59"/>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w:t>
      </w:r>
      <w:r w:rsidRPr="0073389C">
        <w:rPr>
          <w:rFonts w:ascii="Arial" w:hAnsi="Arial" w:cs="Arial"/>
          <w:sz w:val="19"/>
          <w:szCs w:val="19"/>
          <w:lang w:val="sk-SK" w:eastAsia="en-US"/>
        </w:rPr>
        <w:lastRenderedPageBreak/>
        <w:t>výdavkom v rámci osobných výdavkov a daň za ubytovanie, ktorá je oprávneným výdavkom v rámci cestovných náhrad.</w:t>
      </w:r>
    </w:p>
    <w:p w14:paraId="7A55D071" w14:textId="2F3D0068"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14:paraId="7A55D076" w14:textId="38142F76"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B" w14:textId="683D3319" w:rsidR="00AE5A8F" w:rsidRPr="0073389C" w:rsidRDefault="00AE5A8F" w:rsidP="009A78AB">
      <w:pPr>
        <w:pStyle w:val="Zkladntext"/>
        <w:numPr>
          <w:ilvl w:val="0"/>
          <w:numId w:val="84"/>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Pravidlá zjednodušeného vykazovania výdavkov</w:t>
      </w:r>
    </w:p>
    <w:p w14:paraId="77F1C4CF" w14:textId="56609214" w:rsidR="00027286" w:rsidRDefault="00F7150C" w:rsidP="001F73A1">
      <w:pPr>
        <w:spacing w:before="120" w:after="120" w:line="288" w:lineRule="auto"/>
        <w:jc w:val="both"/>
      </w:pPr>
      <w:r w:rsidRPr="00323A97">
        <w:t>V prípade aplikácie inštitútu zjednodušeného vykazovania výdavkov v rámci OP EVS budú konkrétne postupy špecifikované v Usmernení RO pre OP EVS</w:t>
      </w:r>
      <w:r>
        <w:t xml:space="preserve"> k zjednodušenému vykazovaniu výdavkov</w:t>
      </w:r>
      <w:r w:rsidR="007F429B">
        <w:t xml:space="preserve"> zverejnenom na webovom sídle poskytovateľa www.opevs.eu</w:t>
      </w:r>
      <w:r w:rsidR="00A24E08">
        <w:t>.</w:t>
      </w:r>
    </w:p>
    <w:p w14:paraId="7A55D07D" w14:textId="51D0E667" w:rsidR="00AE5A8F" w:rsidRPr="0073389C" w:rsidRDefault="00AE5A8F" w:rsidP="009A78AB">
      <w:pPr>
        <w:pStyle w:val="Zkladntext"/>
        <w:numPr>
          <w:ilvl w:val="0"/>
          <w:numId w:val="84"/>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w:t>
      </w:r>
      <w:r w:rsidRPr="0073389C">
        <w:lastRenderedPageBreak/>
        <w:t xml:space="preserve">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9A78AB">
      <w:pPr>
        <w:pStyle w:val="Zkladntext"/>
        <w:numPr>
          <w:ilvl w:val="0"/>
          <w:numId w:val="84"/>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9A78AB">
      <w:pPr>
        <w:pStyle w:val="Zkladntext"/>
        <w:numPr>
          <w:ilvl w:val="0"/>
          <w:numId w:val="38"/>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0"/>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1"/>
      </w:r>
      <w:r w:rsidRPr="0073389C">
        <w:rPr>
          <w:rFonts w:ascii="Arial" w:hAnsi="Arial" w:cs="Arial"/>
          <w:sz w:val="19"/>
          <w:szCs w:val="19"/>
        </w:rPr>
        <w:t>;</w:t>
      </w:r>
    </w:p>
    <w:p w14:paraId="06FE162D" w14:textId="77777777" w:rsidR="003D140B" w:rsidRPr="0073389C" w:rsidRDefault="003D140B" w:rsidP="009A78AB">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7A55D083" w14:textId="04E41096" w:rsidR="00AE5A8F" w:rsidRPr="002D4DD9" w:rsidRDefault="003D140B" w:rsidP="001F73A1">
      <w:pPr>
        <w:pStyle w:val="Zoznamsodrkami"/>
        <w:numPr>
          <w:ilvl w:val="0"/>
          <w:numId w:val="38"/>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poplatky, resp. iné náklady prijímateľa (vrátane prípadných kurzových strát), ktoré vznikajú z dôvodu vedenia účtu na príjem NFP v zahraničí. </w:t>
      </w:r>
    </w:p>
    <w:p w14:paraId="7A55D084" w14:textId="77777777"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440636384"/>
      <w:r w:rsidRPr="0073389C">
        <w:rPr>
          <w:lang w:val="sk-SK"/>
        </w:rPr>
        <w:t>Postupy pri žiadosti o platbu</w:t>
      </w:r>
      <w:bookmarkEnd w:id="58"/>
      <w:bookmarkEnd w:id="59"/>
      <w:bookmarkEnd w:id="60"/>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5623CECA"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250D8C0D"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s výnimkou žiadosti o platbu – poskytnutie predfinancovania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14:paraId="7A55D08B" w14:textId="089A737A"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lastRenderedPageBreak/>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r w:rsidR="001E3710" w:rsidRPr="0073389C">
        <w:rPr>
          <w:rFonts w:ascii="Arial" w:hAnsi="Arial" w:cs="Arial"/>
          <w:sz w:val="19"/>
          <w:szCs w:val="19"/>
          <w:lang w:val="sk-SK"/>
        </w:rPr>
        <w:t xml:space="preserve">Prijímateľovi sa odporúča predkladanie aspoň jednej </w:t>
      </w:r>
      <w:r w:rsidR="006E3806">
        <w:rPr>
          <w:rFonts w:ascii="Arial" w:hAnsi="Arial" w:cs="Arial"/>
          <w:sz w:val="19"/>
          <w:szCs w:val="19"/>
          <w:lang w:val="sk-SK"/>
        </w:rPr>
        <w:t>ŽoP</w:t>
      </w:r>
      <w:r w:rsidR="001E3710" w:rsidRPr="0073389C">
        <w:rPr>
          <w:rFonts w:ascii="Arial" w:hAnsi="Arial" w:cs="Arial"/>
          <w:sz w:val="19"/>
          <w:szCs w:val="19"/>
          <w:lang w:val="sk-SK"/>
        </w:rPr>
        <w:t xml:space="preserve"> mesačne, uľahčí to totiž finančné vysporiadanie projektu.</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62"/>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63"/>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440636385"/>
      <w:r w:rsidRPr="0073389C">
        <w:rPr>
          <w:lang w:val="sk-SK"/>
        </w:rPr>
        <w:t>Špecifiká jednotlivých systémov financovania</w:t>
      </w:r>
      <w:bookmarkEnd w:id="61"/>
      <w:bookmarkEnd w:id="62"/>
      <w:bookmarkEnd w:id="63"/>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lastRenderedPageBreak/>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7A55D09C" w14:textId="77777777"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14:paraId="7A55D09D" w14:textId="659CFA5C"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77777777"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 pripísania týchto prostriedkov na jeho účet.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7A55D0A1" w14:textId="77777777"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 </w:t>
      </w:r>
    </w:p>
    <w:p w14:paraId="363593F8" w14:textId="1C196C5B"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Nezúčtovaný rozdiel predfinancovania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77777777"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14:paraId="7A55D0A4" w14:textId="77777777"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0A572CAF"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začatí realizácie projektu predkladá žiadosť o platbu (poskytnutie zálohovej platby) v zmysle podmienok zmluvy o NFP, a to maximálne do výšky 40 % z relevantnej časti rozpočtu projektu </w:t>
      </w:r>
      <w:r w:rsidRPr="0073389C">
        <w:lastRenderedPageBreak/>
        <w:t>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64"/>
      </w:r>
      <w:r w:rsidR="00AE5A8F" w:rsidRPr="0073389C">
        <w:t>:</w:t>
      </w:r>
    </w:p>
    <w:p w14:paraId="397A1FB8" w14:textId="458000D0" w:rsidR="00434F2E" w:rsidRDefault="002D4DD9" w:rsidP="00CF7FC1">
      <w:pPr>
        <w:tabs>
          <w:tab w:val="left" w:pos="360"/>
        </w:tabs>
        <w:autoSpaceDE w:val="0"/>
        <w:autoSpaceDN w:val="0"/>
        <w:adjustRightInd w:val="0"/>
        <w:spacing w:before="120" w:after="120" w:line="288" w:lineRule="auto"/>
        <w:jc w:val="both"/>
        <w:rPr>
          <w:b/>
        </w:rPr>
      </w:pPr>
      <w:r>
        <w:rPr>
          <w:b/>
        </w:rPr>
        <w:t xml:space="preserve">Poskytnutie zálohovej platby </w:t>
      </w:r>
    </w:p>
    <w:p w14:paraId="3614987C" w14:textId="77777777" w:rsidR="00434F2E" w:rsidRDefault="00434F2E" w:rsidP="009A78AB">
      <w:pPr>
        <w:numPr>
          <w:ilvl w:val="0"/>
          <w:numId w:val="96"/>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14:paraId="6633F97D" w14:textId="24AF8283" w:rsidR="00434F2E" w:rsidRDefault="00434F2E" w:rsidP="009A78AB">
      <w:pPr>
        <w:numPr>
          <w:ilvl w:val="0"/>
          <w:numId w:val="96"/>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14:paraId="5CF7ACDD" w14:textId="77777777"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14:paraId="7A55D0B0" w14:textId="77777777"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14:paraId="7A55D0A9" w14:textId="77777777"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14:paraId="7A55D0AA" w14:textId="77777777"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14:paraId="7A55D0AB" w14:textId="77777777"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14:paraId="7A55D0AC" w14:textId="77777777"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14:paraId="7A55D0AD" w14:textId="77777777"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14:paraId="7A55D0AE" w14:textId="77777777"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14:paraId="7A55D0AF" w14:textId="77777777" w:rsidR="00AE5A8F" w:rsidRPr="0073389C" w:rsidRDefault="00AE5A8F" w:rsidP="00CF7FC1">
            <w:pPr>
              <w:autoSpaceDE w:val="0"/>
              <w:autoSpaceDN w:val="0"/>
              <w:adjustRightInd w:val="0"/>
              <w:spacing w:before="120" w:after="120" w:line="288" w:lineRule="auto"/>
            </w:pPr>
            <w:r w:rsidRPr="0073389C">
              <w:t>12</w:t>
            </w:r>
          </w:p>
        </w:tc>
      </w:tr>
      <w:tr w:rsidR="00AE5A8F" w:rsidRPr="0073389C" w14:paraId="7A55D0B8" w14:textId="77777777" w:rsidTr="000D5577">
        <w:trPr>
          <w:trHeight w:val="305"/>
          <w:jc w:val="center"/>
        </w:trPr>
        <w:tc>
          <w:tcPr>
            <w:tcW w:w="2338" w:type="dxa"/>
            <w:vMerge/>
            <w:tcBorders>
              <w:top w:val="nil"/>
              <w:left w:val="single" w:sz="4" w:space="0" w:color="9ACD66"/>
              <w:bottom w:val="single" w:sz="4" w:space="0" w:color="9ACD66"/>
              <w:right w:val="nil"/>
            </w:tcBorders>
            <w:vAlign w:val="center"/>
          </w:tcPr>
          <w:p w14:paraId="7A55D0B1" w14:textId="77777777"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14:paraId="7A55D0B2" w14:textId="77777777"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14:paraId="7A55D0B3" w14:textId="77777777"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14:paraId="7A55D0B4" w14:textId="77777777"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14:paraId="7A55D0B5" w14:textId="77777777"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14:paraId="7A55D0B6" w14:textId="77777777"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14:paraId="7A55D0B7" w14:textId="77777777" w:rsidR="00AE5A8F" w:rsidRPr="0073389C" w:rsidRDefault="00AE5A8F" w:rsidP="00CF7FC1">
            <w:pPr>
              <w:autoSpaceDE w:val="0"/>
              <w:autoSpaceDN w:val="0"/>
              <w:adjustRightInd w:val="0"/>
              <w:spacing w:before="120" w:after="120" w:line="288" w:lineRule="auto"/>
              <w:rPr>
                <w:color w:val="FF0000"/>
              </w:rPr>
            </w:pPr>
          </w:p>
        </w:tc>
      </w:tr>
    </w:tbl>
    <w:p w14:paraId="7A55D0B9" w14:textId="356A8BAF"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C71D02">
        <w:t>:</w:t>
      </w:r>
    </w:p>
    <w:p w14:paraId="7A55D0BA" w14:textId="77777777" w:rsidR="00A672C4"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14:paraId="7A55D0BB" w14:textId="77777777" w:rsidR="00F5089A"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14:paraId="7A55D0BC" w14:textId="77777777"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Poskytnutie zálohovej platby štátnej rozpočtovej organizácii pri využití kombinácie systému zálohových platieb, systému predfinancovania, príp. systému refundácie</w:t>
      </w:r>
    </w:p>
    <w:p w14:paraId="7A55D0BD" w14:textId="77777777" w:rsidR="006739C3" w:rsidRPr="0073389C" w:rsidRDefault="006739C3" w:rsidP="00CF7FC1">
      <w:pPr>
        <w:autoSpaceDE w:val="0"/>
        <w:autoSpaceDN w:val="0"/>
        <w:adjustRightInd w:val="0"/>
        <w:spacing w:before="120" w:after="120" w:line="288" w:lineRule="auto"/>
        <w:jc w:val="both"/>
      </w:pPr>
      <w:r w:rsidRPr="0073389C">
        <w:t>V prípade kombinácie systému zálohových platieb, systému refundácie a systému predfinancovania sa výška maximálnej zálohovej platby vypočíta nasledovne:</w:t>
      </w:r>
    </w:p>
    <w:p w14:paraId="7A55D0BE" w14:textId="4D1629E4"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14:paraId="7A55D0C5" w14:textId="77777777" w:rsidTr="00CF7FC1">
        <w:trPr>
          <w:trHeight w:val="1694"/>
        </w:trPr>
        <w:tc>
          <w:tcPr>
            <w:tcW w:w="2734" w:type="dxa"/>
            <w:shd w:val="clear" w:color="auto" w:fill="FFFFFF"/>
            <w:vAlign w:val="center"/>
          </w:tcPr>
          <w:p w14:paraId="7A55D0BF" w14:textId="165E97EF" w:rsidR="006739C3" w:rsidRPr="0073389C" w:rsidRDefault="00FD0603" w:rsidP="00CF7FC1">
            <w:pPr>
              <w:autoSpaceDE w:val="0"/>
              <w:autoSpaceDN w:val="0"/>
              <w:adjustRightInd w:val="0"/>
              <w:spacing w:before="120" w:after="120" w:line="288" w:lineRule="auto"/>
              <w:jc w:val="center"/>
            </w:pPr>
            <w:r>
              <w:t>m</w:t>
            </w:r>
            <w:r w:rsidR="006739C3" w:rsidRPr="0073389C">
              <w:t>aximálna výška poskytnutej zálohovej platby</w:t>
            </w:r>
          </w:p>
        </w:tc>
        <w:tc>
          <w:tcPr>
            <w:tcW w:w="567" w:type="dxa"/>
            <w:shd w:val="clear" w:color="auto" w:fill="FFFFFF"/>
            <w:vAlign w:val="center"/>
          </w:tcPr>
          <w:p w14:paraId="7A55D0C0" w14:textId="77777777"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14:paraId="7A55D0C1" w14:textId="77777777"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14:paraId="7A55D0C2" w14:textId="77777777"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14:paraId="7A55D0C3" w14:textId="77777777"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14:paraId="7A55D0C4" w14:textId="6651E53F" w:rsidR="006739C3" w:rsidRPr="0073389C" w:rsidRDefault="006739C3" w:rsidP="00CF7FC1">
            <w:pPr>
              <w:autoSpaceDE w:val="0"/>
              <w:autoSpaceDN w:val="0"/>
              <w:adjustRightInd w:val="0"/>
              <w:spacing w:before="120" w:after="120" w:line="288" w:lineRule="auto"/>
              <w:jc w:val="center"/>
            </w:pPr>
            <w:r w:rsidRPr="0073389C">
              <w:t>(vo výške prostriedkov zodpovedajúcich podielu prostriedkov EÚ a </w:t>
            </w:r>
            <w:r w:rsidR="00BB1F0F">
              <w:t>ŠR</w:t>
            </w:r>
            <w:r w:rsidRPr="0073389C">
              <w:t xml:space="preserve"> na spolufinancovanie)</w:t>
            </w:r>
          </w:p>
        </w:tc>
      </w:tr>
    </w:tbl>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7777777"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14:paraId="7A55D0C8" w14:textId="6ED47E6C"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 xml:space="preserve">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w:t>
      </w:r>
      <w:r w:rsidRPr="0073389C">
        <w:lastRenderedPageBreak/>
        <w:t>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lastRenderedPageBreak/>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9A78AB">
      <w:pPr>
        <w:pStyle w:val="Odsekzoznamu"/>
        <w:numPr>
          <w:ilvl w:val="1"/>
          <w:numId w:val="60"/>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9A78AB">
      <w:pPr>
        <w:numPr>
          <w:ilvl w:val="1"/>
          <w:numId w:val="60"/>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6" w14:textId="7DDAFB47"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14:paraId="7A55D0E7" w14:textId="2900449E"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65"/>
      </w:r>
      <w:r w:rsidRPr="0073389C">
        <w:rPr>
          <w:rFonts w:ascii="Arial" w:hAnsi="Arial" w:cs="Arial"/>
          <w:sz w:val="19"/>
          <w:szCs w:val="19"/>
          <w:lang w:val="sk-SK"/>
        </w:rPr>
        <w:t>.</w:t>
      </w:r>
    </w:p>
    <w:p w14:paraId="7A55D0E8" w14:textId="77777777" w:rsidR="00AE5A8F" w:rsidRPr="0073389C" w:rsidRDefault="00AE5A8F" w:rsidP="00CF7FC1">
      <w:pPr>
        <w:spacing w:before="120" w:after="120" w:line="288" w:lineRule="auto"/>
        <w:jc w:val="both"/>
        <w:rPr>
          <w:b/>
        </w:rPr>
      </w:pPr>
      <w:r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lastRenderedPageBreak/>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33BE0F0A" w:rsidR="007A0798" w:rsidRPr="0073389C" w:rsidRDefault="007A0798" w:rsidP="00CF7FC1">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66"/>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troch vyhotoveniach (jedno vyhotovenie si ponechá u seba, </w:t>
      </w:r>
      <w:r w:rsidRPr="0073389C">
        <w:rPr>
          <w:b/>
        </w:rPr>
        <w:t xml:space="preserve">dve 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7A55D0EE" w14:textId="335F298D"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ŽoP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5" w14:textId="2063929A"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67"/>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14:paraId="7A55D0F6" w14:textId="29F93BBB"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68"/>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252FBE9F"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w:t>
      </w:r>
      <w:r w:rsidRPr="0073389C">
        <w:rPr>
          <w:rFonts w:ascii="Arial" w:hAnsi="Arial" w:cs="Arial"/>
          <w:sz w:val="19"/>
          <w:szCs w:val="19"/>
          <w:lang w:val="sk-SK"/>
        </w:rPr>
        <w:lastRenderedPageBreak/>
        <w:t xml:space="preserve">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26C7F656" w:rsidR="008E1AC5" w:rsidRDefault="007A0798" w:rsidP="005B19C6">
      <w:pPr>
        <w:pStyle w:val="Zkladntext"/>
        <w:spacing w:before="120" w:after="120" w:line="288" w:lineRule="auto"/>
      </w:pPr>
      <w:r w:rsidRPr="0073389C">
        <w:rPr>
          <w:rFonts w:ascii="Arial" w:hAnsi="Arial" w:cs="Arial"/>
          <w:sz w:val="19"/>
          <w:szCs w:val="19"/>
          <w:lang w:val="sk-SK"/>
        </w:rPr>
        <w:t>Poradové číslo všeobecných príloh je vo verejnej časti portálu ITMS2014+ generované automaticky. Prijímateľ je však povinný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14:paraId="7A55D0FB" w14:textId="77777777" w:rsidR="007A0798" w:rsidRPr="0073389C"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440636386"/>
      <w:r w:rsidRPr="0073389C">
        <w:rPr>
          <w:caps/>
          <w:lang w:val="sk-SK" w:eastAsia="cs-CZ"/>
        </w:rPr>
        <w:t>Ú</w:t>
      </w:r>
      <w:r w:rsidRPr="0073389C">
        <w:rPr>
          <w:lang w:val="sk-SK" w:eastAsia="cs-CZ"/>
        </w:rPr>
        <w:t>čtovné doklady a ich prílohy</w:t>
      </w:r>
      <w:bookmarkEnd w:id="64"/>
      <w:bookmarkEnd w:id="65"/>
      <w:bookmarkEnd w:id="66"/>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69"/>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w:t>
      </w:r>
      <w:r w:rsidRPr="0073389C">
        <w:rPr>
          <w:b/>
          <w:lang w:eastAsia="cs-CZ"/>
        </w:rPr>
        <w:lastRenderedPageBreak/>
        <w:t xml:space="preserve">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0"/>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1"/>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4"/>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w:t>
      </w:r>
      <w:r w:rsidRPr="0073389C">
        <w:rPr>
          <w:lang w:eastAsia="cs-CZ"/>
        </w:rPr>
        <w:lastRenderedPageBreak/>
        <w:t xml:space="preserve">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7115CF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2"/>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77777777"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73"/>
      </w:r>
      <w:r w:rsidRPr="0073389C">
        <w:rPr>
          <w:lang w:val="sk-SK"/>
        </w:rPr>
        <w:t xml:space="preserve">, </w:t>
      </w:r>
    </w:p>
    <w:p w14:paraId="7A55D130" w14:textId="71459827" w:rsidR="009D7F63" w:rsidRPr="0073389C" w:rsidRDefault="009D7F63" w:rsidP="004B4384">
      <w:pPr>
        <w:pStyle w:val="Bulletslevel1"/>
        <w:spacing w:after="120" w:line="288" w:lineRule="auto"/>
        <w:ind w:left="568" w:hanging="284"/>
        <w:jc w:val="both"/>
        <w:rPr>
          <w:lang w:val="sk-SK"/>
        </w:rPr>
      </w:pPr>
      <w:r w:rsidRPr="0073389C">
        <w:rPr>
          <w:lang w:val="sk-SK"/>
        </w:rPr>
        <w:t>pracovný výkaz (zjednodušený pracovný výkaz</w:t>
      </w:r>
      <w:r w:rsidRPr="0073389C">
        <w:rPr>
          <w:rStyle w:val="Odkaznapoznmkupodiarou"/>
          <w:rFonts w:cs="Arial"/>
          <w:i/>
          <w:iCs/>
          <w:sz w:val="19"/>
          <w:szCs w:val="19"/>
          <w:lang w:val="sk-SK"/>
        </w:rPr>
        <w:footnoteReference w:id="74"/>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75"/>
      </w:r>
      <w:r w:rsidRPr="0073389C">
        <w:rPr>
          <w:lang w:val="sk-SK"/>
        </w:rPr>
        <w:t xml:space="preserve"> príloha č. </w:t>
      </w:r>
      <w:r w:rsidR="00BC7E17">
        <w:rPr>
          <w:lang w:val="sk-SK"/>
        </w:rPr>
        <w:t>7</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lastRenderedPageBreak/>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76"/>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600256C9"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73389C"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1913CD59" w:rsidR="009D7F63" w:rsidRPr="0073389C" w:rsidRDefault="009D7F63" w:rsidP="009D7F63">
      <w:pPr>
        <w:pStyle w:val="Bulletslevel1"/>
        <w:spacing w:after="120" w:line="288" w:lineRule="auto"/>
        <w:ind w:left="567" w:hanging="283"/>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77"/>
      </w:r>
      <w:r w:rsidRPr="0073389C">
        <w:rPr>
          <w:lang w:val="sk-SK"/>
        </w:rPr>
        <w:t xml:space="preserve">, </w:t>
      </w:r>
    </w:p>
    <w:p w14:paraId="7A55D13C" w14:textId="1AE26C33"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78"/>
      </w:r>
      <w:r w:rsidRPr="0073389C">
        <w:rPr>
          <w:lang w:val="sk-SK"/>
        </w:rPr>
        <w:t xml:space="preserve"> príloha č. </w:t>
      </w:r>
      <w:r w:rsidR="00B50E09">
        <w:rPr>
          <w:lang w:val="sk-SK"/>
        </w:rPr>
        <w:t>7</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lastRenderedPageBreak/>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79"/>
      </w:r>
      <w:r w:rsidR="009D7F63" w:rsidRPr="00FE024C">
        <w:rPr>
          <w:lang w:val="sk-SK"/>
        </w:rPr>
        <w:t>, ak je účet identifikovaný v zmluvnom vzťahu (napr. v dohode), prijímateľ nie je povinný predkladať súhlas s poukazovaním mzdy na účet,</w:t>
      </w:r>
    </w:p>
    <w:p w14:paraId="4C7E5AB2" w14:textId="727A80AC"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BB28C5"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A55D147" w14:textId="77777777"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B5DA948"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77777777"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14:paraId="160CFB5A" w14:textId="019ABDEF" w:rsidR="0042442A"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9A78AB">
      <w:pPr>
        <w:pStyle w:val="Bulletslevel1"/>
        <w:numPr>
          <w:ilvl w:val="1"/>
          <w:numId w:val="72"/>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9A78AB">
      <w:pPr>
        <w:pStyle w:val="Bulletslevel1"/>
        <w:numPr>
          <w:ilvl w:val="1"/>
          <w:numId w:val="72"/>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9A78AB">
      <w:pPr>
        <w:pStyle w:val="Bulletslevel1"/>
        <w:numPr>
          <w:ilvl w:val="1"/>
          <w:numId w:val="72"/>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9A78AB">
      <w:pPr>
        <w:pStyle w:val="Bulletslevel1"/>
        <w:numPr>
          <w:ilvl w:val="1"/>
          <w:numId w:val="72"/>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9A78AB">
      <w:pPr>
        <w:pStyle w:val="Bulletslevel1"/>
        <w:numPr>
          <w:ilvl w:val="1"/>
          <w:numId w:val="72"/>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0"/>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3F975C2C"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9A78AB">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5B322424" w14:textId="48AA2F1B" w:rsidR="00BC103F" w:rsidRPr="00B74A96" w:rsidRDefault="0042442A" w:rsidP="009A78AB">
      <w:pPr>
        <w:pStyle w:val="Default"/>
        <w:numPr>
          <w:ilvl w:val="1"/>
          <w:numId w:val="72"/>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r w:rsidRPr="0073389C">
        <w:rPr>
          <w:rFonts w:ascii="Arial" w:hAnsi="Arial" w:cs="Arial"/>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77777777"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Pr="0073389C">
        <w:rPr>
          <w:lang w:val="sk-SK"/>
        </w:rPr>
        <w:t xml:space="preserve"> je oprávneným výdavkom suma zodpovedajúca výške cestovného prostredníctvom verejnej dopravy. V takomto prípade sa bude vyžadovať potvrdenie dopravcu o cene lístka</w:t>
      </w:r>
      <w:r w:rsidRPr="0073389C">
        <w:rPr>
          <w:rStyle w:val="Odkaznapoznmkupodiarou"/>
          <w:rFonts w:cs="Arial"/>
          <w:sz w:val="19"/>
          <w:szCs w:val="19"/>
          <w:lang w:val="sk-SK"/>
        </w:rPr>
        <w:footnoteReference w:id="81"/>
      </w:r>
      <w:r w:rsidRPr="0073389C">
        <w:rPr>
          <w:lang w:val="sk-SK"/>
        </w:rPr>
        <w:t xml:space="preserve"> napr. na internete verejne dostupný cenník platný k danému termínu použitia súkromného motorového vozidla, </w:t>
      </w:r>
    </w:p>
    <w:p w14:paraId="52A1CD85" w14:textId="77777777"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82"/>
      </w:r>
      <w:r w:rsidRPr="0073389C">
        <w:rPr>
          <w:lang w:val="sk-SK"/>
        </w:rPr>
        <w:t>: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zákonná poistka (ak je to relevantné</w:t>
      </w:r>
      <w:r w:rsidRPr="0073389C">
        <w:rPr>
          <w:rStyle w:val="Odkaznapoznmkupodiarou"/>
          <w:rFonts w:cs="Arial"/>
          <w:sz w:val="19"/>
          <w:szCs w:val="19"/>
          <w:lang w:val="sk-SK"/>
        </w:rPr>
        <w:footnoteReference w:id="83"/>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lastRenderedPageBreak/>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22E9556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17E6A09A" w14:textId="3515FFD3" w:rsidR="007E243E" w:rsidRPr="00E65E97" w:rsidRDefault="009D7F63" w:rsidP="00E65E97">
      <w:pPr>
        <w:pStyle w:val="Bulletslevel1"/>
        <w:spacing w:after="120" w:line="288" w:lineRule="auto"/>
        <w:ind w:left="567" w:hanging="283"/>
        <w:rPr>
          <w:lang w:val="sk-SK"/>
        </w:rPr>
      </w:pPr>
      <w:r w:rsidRPr="00C87533">
        <w:rPr>
          <w:lang w:val="sk-SK"/>
        </w:rPr>
        <w:t>výpis z denníka, resp. z hlavnej knihy prijímateľa alebo peňažného denníka prijímateľa (jednoduché účtovníctvo) o zaúčtovaní účtovného prípadu vrátane úhrady výdavku, spôsob výpočtu oprávnenej výšky výdavku (ak relevantné).</w:t>
      </w:r>
      <w:r w:rsidR="00C87533" w:rsidRPr="00B23943">
        <w:rPr>
          <w:lang w:val="sk-SK"/>
        </w:rPr>
        <w:t xml:space="preserve"> </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14:paraId="498AD2C3" w14:textId="531208F0"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37FBA70B"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F01B47">
        <w:rPr>
          <w:rFonts w:ascii="Arial" w:hAnsi="Arial" w:cs="Arial"/>
          <w:b/>
          <w:sz w:val="19"/>
          <w:szCs w:val="19"/>
          <w:lang w:val="sk-SK"/>
        </w:rPr>
        <w:t>pri využití súkromného motorového vozidla</w:t>
      </w:r>
      <w:r w:rsidRPr="0073389C">
        <w:rPr>
          <w:rFonts w:ascii="Arial" w:hAnsi="Arial" w:cs="Arial"/>
          <w:sz w:val="19"/>
          <w:szCs w:val="19"/>
          <w:lang w:val="sk-SK"/>
        </w:rPr>
        <w:t xml:space="preserve"> doklad o výške cestovného prostredníctvom verejnej dopravy - potvrdenie dopravcu o cene lístka</w:t>
      </w:r>
      <w:r w:rsidRPr="0073389C">
        <w:rPr>
          <w:rStyle w:val="Odkaznapoznmkupodiarou"/>
          <w:rFonts w:cs="Arial"/>
          <w:sz w:val="19"/>
          <w:szCs w:val="19"/>
          <w:lang w:val="sk-SK"/>
        </w:rPr>
        <w:footnoteReference w:id="84"/>
      </w:r>
      <w:r w:rsidRPr="0073389C">
        <w:rPr>
          <w:rFonts w:ascii="Arial" w:hAnsi="Arial" w:cs="Arial"/>
          <w:sz w:val="19"/>
          <w:szCs w:val="19"/>
          <w:lang w:val="sk-SK"/>
        </w:rPr>
        <w:t xml:space="preserve"> napr. na internete verejne dostupný cenník platný k danému termínu použitia súkromného motorového vozidla,</w:t>
      </w:r>
    </w:p>
    <w:p w14:paraId="4C4435C6"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9A78AB">
      <w:pPr>
        <w:pStyle w:val="Default"/>
        <w:numPr>
          <w:ilvl w:val="0"/>
          <w:numId w:val="70"/>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9A78AB">
      <w:pPr>
        <w:pStyle w:val="Default"/>
        <w:numPr>
          <w:ilvl w:val="0"/>
          <w:numId w:val="71"/>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9A78AB">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9A78AB">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9A78AB">
      <w:pPr>
        <w:pStyle w:val="Default"/>
        <w:numPr>
          <w:ilvl w:val="0"/>
          <w:numId w:val="71"/>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w:t>
      </w:r>
      <w:r w:rsidRPr="0073389C">
        <w:rPr>
          <w:rFonts w:ascii="Arial" w:hAnsi="Arial" w:cs="Arial"/>
          <w:sz w:val="19"/>
          <w:szCs w:val="19"/>
          <w:lang w:val="sk-SK"/>
        </w:rPr>
        <w:lastRenderedPageBreak/>
        <w:t xml:space="preserve">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9A78AB">
      <w:pPr>
        <w:pStyle w:val="Default"/>
        <w:numPr>
          <w:ilvl w:val="1"/>
          <w:numId w:val="6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9A78AB">
      <w:pPr>
        <w:pStyle w:val="Default"/>
        <w:numPr>
          <w:ilvl w:val="1"/>
          <w:numId w:val="6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9A78AB">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9A78AB">
      <w:pPr>
        <w:pStyle w:val="Default"/>
        <w:numPr>
          <w:ilvl w:val="0"/>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9A78AB">
      <w:pPr>
        <w:pStyle w:val="Default"/>
        <w:numPr>
          <w:ilvl w:val="2"/>
          <w:numId w:val="63"/>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9A78AB">
      <w:pPr>
        <w:pStyle w:val="Default"/>
        <w:numPr>
          <w:ilvl w:val="2"/>
          <w:numId w:val="63"/>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9A78AB">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9A78AB">
      <w:pPr>
        <w:pStyle w:val="Default"/>
        <w:numPr>
          <w:ilvl w:val="2"/>
          <w:numId w:val="8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9A78AB">
      <w:pPr>
        <w:pStyle w:val="Default"/>
        <w:numPr>
          <w:ilvl w:val="2"/>
          <w:numId w:val="8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9A78AB">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9A78AB">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lastRenderedPageBreak/>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9A78AB">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EB0D0B" w:rsidRDefault="009D7F63" w:rsidP="009A78AB">
      <w:pPr>
        <w:pStyle w:val="Default"/>
        <w:numPr>
          <w:ilvl w:val="1"/>
          <w:numId w:val="67"/>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9A78AB">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9A78AB">
      <w:pPr>
        <w:pStyle w:val="Default"/>
        <w:numPr>
          <w:ilvl w:val="1"/>
          <w:numId w:val="68"/>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9A78AB">
      <w:pPr>
        <w:pStyle w:val="Default"/>
        <w:numPr>
          <w:ilvl w:val="1"/>
          <w:numId w:val="8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9A78AB">
      <w:pPr>
        <w:pStyle w:val="Default"/>
        <w:numPr>
          <w:ilvl w:val="0"/>
          <w:numId w:val="8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8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5D6E5050" w:rsidR="009D7F63" w:rsidRPr="000C520E" w:rsidRDefault="00EC3F60" w:rsidP="009A78AB">
      <w:pPr>
        <w:pStyle w:val="Default"/>
        <w:numPr>
          <w:ilvl w:val="0"/>
          <w:numId w:val="69"/>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9A78AB">
      <w:pPr>
        <w:pStyle w:val="Default"/>
        <w:numPr>
          <w:ilvl w:val="1"/>
          <w:numId w:val="86"/>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8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9A78AB">
      <w:pPr>
        <w:pStyle w:val="Default"/>
        <w:numPr>
          <w:ilvl w:val="1"/>
          <w:numId w:val="7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9A78AB">
      <w:pPr>
        <w:pStyle w:val="Default"/>
        <w:numPr>
          <w:ilvl w:val="1"/>
          <w:numId w:val="7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9A78AB">
      <w:pPr>
        <w:pStyle w:val="Normlnywebov"/>
        <w:numPr>
          <w:ilvl w:val="0"/>
          <w:numId w:val="74"/>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9A78AB">
      <w:pPr>
        <w:pStyle w:val="Normlnywebov"/>
        <w:numPr>
          <w:ilvl w:val="0"/>
          <w:numId w:val="74"/>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43B30F96" w:rsidR="001F2A24" w:rsidRPr="001F2A24" w:rsidRDefault="00DC42FF" w:rsidP="009A78AB">
      <w:pPr>
        <w:pStyle w:val="Normlnywebov"/>
        <w:numPr>
          <w:ilvl w:val="0"/>
          <w:numId w:val="74"/>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14:paraId="3E744590" w14:textId="3D5E64F8" w:rsidR="00486549" w:rsidRPr="001F2A24" w:rsidRDefault="001F2A24" w:rsidP="009A78AB">
      <w:pPr>
        <w:pStyle w:val="Odsekzoznamu"/>
        <w:numPr>
          <w:ilvl w:val="0"/>
          <w:numId w:val="74"/>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9A78AB">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9A78AB">
      <w:pPr>
        <w:pStyle w:val="Default"/>
        <w:numPr>
          <w:ilvl w:val="1"/>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w:t>
      </w:r>
      <w:r w:rsidRPr="0073389C">
        <w:rPr>
          <w:rFonts w:ascii="Arial" w:hAnsi="Arial"/>
          <w:color w:val="auto"/>
          <w:sz w:val="19"/>
          <w:szCs w:val="19"/>
          <w:lang w:val="sk-SK"/>
        </w:rPr>
        <w:lastRenderedPageBreak/>
        <w:t xml:space="preserve">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9A78AB">
      <w:pPr>
        <w:pStyle w:val="Default"/>
        <w:numPr>
          <w:ilvl w:val="1"/>
          <w:numId w:val="75"/>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9A78AB">
      <w:pPr>
        <w:pStyle w:val="Default"/>
        <w:numPr>
          <w:ilvl w:val="1"/>
          <w:numId w:val="7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9A78AB">
      <w:pPr>
        <w:pStyle w:val="Default"/>
        <w:numPr>
          <w:ilvl w:val="1"/>
          <w:numId w:val="7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87"/>
      </w:r>
      <w:r w:rsidRPr="0073389C">
        <w:rPr>
          <w:rFonts w:ascii="Arial" w:hAnsi="Arial" w:cs="Arial"/>
          <w:b/>
          <w:bCs/>
          <w:position w:val="8"/>
          <w:sz w:val="19"/>
          <w:szCs w:val="19"/>
          <w:vertAlign w:val="superscript"/>
          <w:lang w:val="sk-SK"/>
        </w:rPr>
        <w:t xml:space="preserve"> </w:t>
      </w:r>
    </w:p>
    <w:p w14:paraId="7A55D209" w14:textId="1446C6B3" w:rsidR="009D7F63"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88"/>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9A78AB">
      <w:pPr>
        <w:pStyle w:val="Default"/>
        <w:numPr>
          <w:ilvl w:val="0"/>
          <w:numId w:val="7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9A78AB">
      <w:pPr>
        <w:pStyle w:val="Default"/>
        <w:numPr>
          <w:ilvl w:val="0"/>
          <w:numId w:val="7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9A78AB">
      <w:pPr>
        <w:pStyle w:val="Default"/>
        <w:numPr>
          <w:ilvl w:val="0"/>
          <w:numId w:val="7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9A78AB">
      <w:pPr>
        <w:pStyle w:val="Default"/>
        <w:numPr>
          <w:ilvl w:val="0"/>
          <w:numId w:val="77"/>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lastRenderedPageBreak/>
        <w:t xml:space="preserve">protokol o zaradení odpisovaného majetku, </w:t>
      </w:r>
    </w:p>
    <w:p w14:paraId="7A55D215"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9A78AB">
      <w:pPr>
        <w:pStyle w:val="Default"/>
        <w:numPr>
          <w:ilvl w:val="0"/>
          <w:numId w:val="7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9A78AB">
      <w:pPr>
        <w:pStyle w:val="Zoznamsodrkami"/>
        <w:numPr>
          <w:ilvl w:val="0"/>
          <w:numId w:val="79"/>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9A78AB">
      <w:pPr>
        <w:pStyle w:val="Zoznamsodrkami"/>
        <w:numPr>
          <w:ilvl w:val="0"/>
          <w:numId w:val="79"/>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9A78AB">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9A78AB">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9A78AB">
      <w:pPr>
        <w:pStyle w:val="Default"/>
        <w:numPr>
          <w:ilvl w:val="1"/>
          <w:numId w:val="64"/>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lastRenderedPageBreak/>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5" w:name="_Toc410907876"/>
      <w:r>
        <w:rPr>
          <w:lang w:val="sk-SK"/>
        </w:rPr>
        <w:t xml:space="preserve"> </w:t>
      </w:r>
      <w:bookmarkStart w:id="116" w:name="_Toc440372876"/>
      <w:bookmarkStart w:id="117" w:name="_Toc440636387"/>
      <w:r w:rsidR="009D7F63" w:rsidRPr="0073389C">
        <w:rPr>
          <w:lang w:val="sk-SK"/>
        </w:rPr>
        <w:t>Nezrovnalosti a vysporiadanie finančných vzťahov</w:t>
      </w:r>
      <w:bookmarkEnd w:id="115"/>
      <w:bookmarkEnd w:id="116"/>
      <w:bookmarkEnd w:id="117"/>
    </w:p>
    <w:p w14:paraId="170C81DC" w14:textId="77777777" w:rsidR="00CC0C60" w:rsidRPr="00E8012F" w:rsidRDefault="00CC0C60" w:rsidP="00CC0C60">
      <w:pPr>
        <w:autoSpaceDE w:val="0"/>
        <w:autoSpaceDN w:val="0"/>
        <w:adjustRightInd w:val="0"/>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CC0C60">
      <w:pPr>
        <w:autoSpaceDE w:val="0"/>
        <w:autoSpaceDN w:val="0"/>
        <w:adjustRightInd w:val="0"/>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CC0C60">
      <w:pPr>
        <w:autoSpaceDE w:val="0"/>
        <w:autoSpaceDN w:val="0"/>
        <w:adjustRightInd w:val="0"/>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D0EE3">
      <w:pPr>
        <w:spacing w:line="288" w:lineRule="auto"/>
      </w:pPr>
      <w:r w:rsidRPr="00B22662">
        <w:t xml:space="preserve">Z pohľadu legislatívy Slovenskej republiky má na vznik nezrovnalosti priamy dopad najmä: </w:t>
      </w:r>
    </w:p>
    <w:p w14:paraId="4CBA0D75" w14:textId="77777777" w:rsidR="00AC0EAB" w:rsidRPr="00B22662" w:rsidRDefault="00AC0EAB" w:rsidP="009A78AB">
      <w:pPr>
        <w:numPr>
          <w:ilvl w:val="0"/>
          <w:numId w:val="97"/>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9A78AB">
      <w:pPr>
        <w:numPr>
          <w:ilvl w:val="0"/>
          <w:numId w:val="97"/>
        </w:numPr>
        <w:spacing w:line="288"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569DA215" w:rsidR="00C15DDE" w:rsidRDefault="00AC0EAB"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14:paraId="68A4794C" w14:textId="24456FFB" w:rsidR="00CC0C60" w:rsidRPr="00AC0EAB" w:rsidRDefault="00CC0C60" w:rsidP="009A78AB">
      <w:pPr>
        <w:widowControl w:val="0"/>
        <w:numPr>
          <w:ilvl w:val="0"/>
          <w:numId w:val="97"/>
        </w:numPr>
        <w:autoSpaceDE w:val="0"/>
        <w:autoSpaceDN w:val="0"/>
        <w:adjustRightInd w:val="0"/>
        <w:spacing w:before="120" w:line="288"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5135C037"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lastRenderedPageBreak/>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4603A234"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E8012F">
      <w:pPr>
        <w:numPr>
          <w:ilvl w:val="0"/>
          <w:numId w:val="113"/>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E8012F">
      <w:pPr>
        <w:numPr>
          <w:ilvl w:val="0"/>
          <w:numId w:val="113"/>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E8012F">
      <w:pPr>
        <w:numPr>
          <w:ilvl w:val="0"/>
          <w:numId w:val="113"/>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14:paraId="7A55D236" w14:textId="69A6AA42" w:rsidR="009D7F63" w:rsidRPr="0073389C" w:rsidRDefault="00FC31BD" w:rsidP="00E8012F">
      <w:pPr>
        <w:numPr>
          <w:ilvl w:val="0"/>
          <w:numId w:val="113"/>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E8012F">
      <w:pPr>
        <w:numPr>
          <w:ilvl w:val="0"/>
          <w:numId w:val="113"/>
        </w:numPr>
        <w:autoSpaceDE w:val="0"/>
        <w:autoSpaceDN w:val="0"/>
        <w:adjustRightInd w:val="0"/>
        <w:spacing w:before="120" w:after="120" w:line="288" w:lineRule="auto"/>
        <w:jc w:val="both"/>
      </w:pPr>
      <w:r w:rsidRPr="0073389C">
        <w:t>a iných (napr. bol vytvorený príjem z projektu).</w:t>
      </w:r>
    </w:p>
    <w:p w14:paraId="6F295211" w14:textId="77777777"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w:t>
      </w:r>
      <w:r w:rsidRPr="0073389C">
        <w:lastRenderedPageBreak/>
        <w:t xml:space="preserve">žiadosti. Ak suma NFP alebo jeho časti, ktorá sa má vrátiť, nepresiahne 40,00 EUR, tento NFP alebo jeho časť poskytovateľ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075BBEA6" w14:textId="4E83D52C"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14:paraId="65AD9E33" w14:textId="77777777" w:rsidR="00034716" w:rsidRPr="00BB2709" w:rsidRDefault="00034716" w:rsidP="00034716">
      <w:pPr>
        <w:spacing w:line="276" w:lineRule="auto"/>
        <w:jc w:val="both"/>
      </w:pPr>
    </w:p>
    <w:p w14:paraId="1E43BDE6" w14:textId="7C1A58C9"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78BFA258"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720A7A6D"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71590BA9" w:rsidR="009D7F63" w:rsidRPr="0073389C" w:rsidRDefault="00460E83" w:rsidP="009D7F63">
      <w:pPr>
        <w:autoSpaceDE w:val="0"/>
        <w:autoSpaceDN w:val="0"/>
        <w:adjustRightInd w:val="0"/>
        <w:spacing w:before="120" w:after="120" w:line="288" w:lineRule="auto"/>
        <w:jc w:val="both"/>
      </w:pPr>
      <w:r>
        <w:rPr>
          <w:rFonts w:cs="Arial"/>
          <w:szCs w:val="19"/>
        </w:rPr>
        <w:lastRenderedPageBreak/>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46EC3571" w14:textId="23A571CE" w:rsidR="00EF35DA" w:rsidRDefault="009D7F63" w:rsidP="00513A1A">
      <w:pPr>
        <w:pStyle w:val="paragraph"/>
        <w:spacing w:before="120" w:beforeAutospacing="0" w:after="120" w:afterAutospacing="0" w:line="288" w:lineRule="auto"/>
        <w:jc w:val="both"/>
        <w:textAlignment w:val="baseline"/>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118" w:name="_Toc415497561"/>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9A78AB">
      <w:pPr>
        <w:pStyle w:val="paragraph"/>
        <w:numPr>
          <w:ilvl w:val="0"/>
          <w:numId w:val="91"/>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9A78AB">
      <w:pPr>
        <w:pStyle w:val="paragraph"/>
        <w:numPr>
          <w:ilvl w:val="0"/>
          <w:numId w:val="91"/>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w:t>
      </w:r>
      <w:r w:rsidRPr="000628E2">
        <w:rPr>
          <w:rStyle w:val="normaltextrun"/>
          <w:rFonts w:ascii="Arial" w:hAnsi="Arial" w:cs="Arial"/>
          <w:b/>
          <w:bCs/>
          <w:sz w:val="19"/>
          <w:szCs w:val="19"/>
        </w:rPr>
        <w:lastRenderedPageBreak/>
        <w:t xml:space="preserve">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8"/>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38C2CA26"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7EE36AC0"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14:paraId="3A4C6CE6" w14:textId="16DCDF4A"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 xml:space="preserve">pri uskutočnení úhrady prostriedkov, takto prijaté prostriedky na účet platobnej jednotky sa posudzujú ako mylná platba a právne záväzky prijímateľa zostávajú nezmenené, čím sa považujú naďalej </w:t>
      </w:r>
      <w:r w:rsidRPr="00C67387">
        <w:rPr>
          <w:rFonts w:cs="Arial"/>
          <w:bCs/>
          <w:szCs w:val="19"/>
        </w:rPr>
        <w:lastRenderedPageBreak/>
        <w:t>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19" w:name="_Toc410905149"/>
      <w:bookmarkStart w:id="120" w:name="_Toc410907877"/>
      <w:bookmarkStart w:id="121" w:name="_Toc440372877"/>
      <w:bookmarkStart w:id="122" w:name="_Toc440636388"/>
      <w:bookmarkEnd w:id="119"/>
      <w:r w:rsidRPr="0073389C">
        <w:rPr>
          <w:lang w:val="sk-SK"/>
        </w:rPr>
        <w:t>Verejné obstarávanie</w:t>
      </w:r>
      <w:bookmarkEnd w:id="120"/>
      <w:bookmarkEnd w:id="121"/>
      <w:bookmarkEnd w:id="122"/>
    </w:p>
    <w:p w14:paraId="7A55D246" w14:textId="738F16D2" w:rsidR="009D7F63" w:rsidRPr="0073389C" w:rsidRDefault="009D7F63" w:rsidP="00A10CB2">
      <w:pPr>
        <w:autoSpaceDE w:val="0"/>
        <w:autoSpaceDN w:val="0"/>
        <w:adjustRightInd w:val="0"/>
        <w:spacing w:before="120" w:after="120" w:line="288" w:lineRule="auto"/>
        <w:jc w:val="both"/>
      </w:pPr>
      <w:bookmarkStart w:id="123" w:name="p22-2-a"/>
      <w:bookmarkStart w:id="124" w:name="p23-5"/>
      <w:bookmarkStart w:id="125" w:name="p23-6"/>
      <w:bookmarkStart w:id="126" w:name="p24"/>
      <w:bookmarkStart w:id="127" w:name="_Toc409190739"/>
      <w:bookmarkStart w:id="128" w:name="_Toc360031225"/>
      <w:bookmarkEnd w:id="123"/>
      <w:bookmarkEnd w:id="124"/>
      <w:bookmarkEnd w:id="125"/>
      <w:bookmarkEnd w:id="126"/>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89"/>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0"/>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6608E49C"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Z.z. o verejnom obstarávaní a o zmene a doplnení niektorých zákonov, účinné v čase </w:t>
      </w:r>
      <w:r w:rsidR="00D519DF">
        <w:t>odoslania oznámenia o vyhlásení verejného obstarávania, 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77777777" w:rsidR="009D7F63" w:rsidRPr="0073389C" w:rsidRDefault="009D7F63" w:rsidP="009D7F63">
      <w:pPr>
        <w:pStyle w:val="Nadpis3"/>
        <w:ind w:left="567" w:firstLine="0"/>
        <w:rPr>
          <w:rFonts w:cs="Arial"/>
          <w:lang w:val="sk-SK"/>
        </w:rPr>
      </w:pPr>
      <w:bookmarkStart w:id="129" w:name="_Toc440372878"/>
      <w:bookmarkStart w:id="130" w:name="_Toc440636389"/>
      <w:r w:rsidRPr="0073389C">
        <w:rPr>
          <w:rFonts w:cs="Arial"/>
          <w:lang w:val="sk-SK"/>
        </w:rPr>
        <w:t>Plán obstarávaní</w:t>
      </w:r>
      <w:bookmarkEnd w:id="127"/>
      <w:bookmarkEnd w:id="128"/>
      <w:bookmarkEnd w:id="129"/>
      <w:bookmarkEnd w:id="130"/>
    </w:p>
    <w:p w14:paraId="7A55D249" w14:textId="59D37E0B" w:rsidR="009D7F63" w:rsidRPr="0073389C" w:rsidRDefault="009D7F63" w:rsidP="009D7F63">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Pr="0073389C">
        <w:t xml:space="preserve">Po podpise </w:t>
      </w:r>
      <w:r w:rsidR="009A1F8B">
        <w:t>z</w:t>
      </w:r>
      <w:r w:rsidRPr="0073389C">
        <w:t xml:space="preserve">mluvy o NFP je prijímateľ povinný vypracovať </w:t>
      </w:r>
      <w:r w:rsidRPr="0073389C">
        <w:rPr>
          <w:i/>
        </w:rPr>
        <w:t>plán obstarávaní</w:t>
      </w:r>
      <w:r w:rsidRPr="0073389C">
        <w:t xml:space="preserve">  tovarov, služieb alebo stavebných prác (vzor príloha č. </w:t>
      </w:r>
      <w:r w:rsidR="00D72CCC" w:rsidRPr="0073389C">
        <w:t>2</w:t>
      </w:r>
      <w:r w:rsidR="00D72CCC">
        <w:t>0</w:t>
      </w:r>
      <w:r w:rsidRPr="0073389C">
        <w:t xml:space="preserve">) – vyplývajúcich zo schváleného projektu, t. j. všetkých rozpočtových položiek. </w:t>
      </w:r>
      <w:r w:rsidR="00A737D2" w:rsidRPr="00A737D2">
        <w:t>Pri vypracovaní plánu obstarávaní je prijímateľ povinný zohľadniť aj výdavky financované z iných verejných zdrojov alebo zdrojov EÚ a na tovary/služby/práce obstarávané v rámci iných projektov financovaných z iných zdrojov EÚ.</w:t>
      </w:r>
      <w:r w:rsidR="00A737D2">
        <w:t xml:space="preserve"> </w:t>
      </w:r>
      <w:r w:rsidRPr="0073389C">
        <w:t>Tento plán obsahuje minimálne tieto údaje:</w:t>
      </w:r>
    </w:p>
    <w:p w14:paraId="7A55D24A" w14:textId="77777777" w:rsidR="009D7F63" w:rsidRPr="0073389C" w:rsidRDefault="009D7F63" w:rsidP="009A78AB">
      <w:pPr>
        <w:numPr>
          <w:ilvl w:val="0"/>
          <w:numId w:val="59"/>
        </w:numPr>
        <w:spacing w:before="120" w:after="120" w:line="288" w:lineRule="auto"/>
      </w:pPr>
      <w:r w:rsidRPr="0073389C">
        <w:t>názov predmetu zákazky,</w:t>
      </w:r>
    </w:p>
    <w:p w14:paraId="7A55D24B" w14:textId="1DCA36DC" w:rsidR="009D7F63" w:rsidRPr="0073389C" w:rsidRDefault="009D7F63" w:rsidP="009A78AB">
      <w:pPr>
        <w:numPr>
          <w:ilvl w:val="0"/>
          <w:numId w:val="59"/>
        </w:numPr>
        <w:spacing w:before="120" w:after="120" w:line="288" w:lineRule="auto"/>
      </w:pPr>
      <w:r w:rsidRPr="0073389C">
        <w:t xml:space="preserve">identifikáciu </w:t>
      </w:r>
      <w:r w:rsidR="00766068" w:rsidRPr="00766068">
        <w:t>poskytovateľa NFP (tzn., či NFP poskytol poskytovateľ)</w:t>
      </w:r>
      <w:r w:rsidRPr="0073389C">
        <w:t>, prijímateľa (resp. partnera) a </w:t>
      </w:r>
      <w:r w:rsidR="00766068" w:rsidRPr="00766068">
        <w:t>projektu vrátane ITMS čísla projektu</w:t>
      </w:r>
      <w:r w:rsidR="00766068">
        <w:t xml:space="preserve"> </w:t>
      </w:r>
      <w:r w:rsidRPr="0073389C">
        <w:t>,</w:t>
      </w:r>
    </w:p>
    <w:p w14:paraId="7A55D24C" w14:textId="77777777" w:rsidR="009D7F63" w:rsidRPr="0073389C" w:rsidRDefault="009D7F63" w:rsidP="009A78AB">
      <w:pPr>
        <w:numPr>
          <w:ilvl w:val="0"/>
          <w:numId w:val="59"/>
        </w:numPr>
        <w:spacing w:before="120" w:after="120" w:line="288" w:lineRule="auto"/>
      </w:pPr>
      <w:r w:rsidRPr="0073389C">
        <w:t>stručný opis predmetu zákazky,</w:t>
      </w:r>
    </w:p>
    <w:p w14:paraId="02C288E9" w14:textId="77777777" w:rsidR="00766068" w:rsidRPr="00703E20" w:rsidRDefault="00766068" w:rsidP="009A78AB">
      <w:pPr>
        <w:numPr>
          <w:ilvl w:val="0"/>
          <w:numId w:val="59"/>
        </w:numPr>
        <w:spacing w:before="120" w:after="120" w:line="288" w:lineRule="auto"/>
        <w:rPr>
          <w:rFonts w:cs="Arial"/>
          <w:szCs w:val="19"/>
        </w:rPr>
      </w:pPr>
      <w:r w:rsidRPr="00703E20">
        <w:rPr>
          <w:rFonts w:cs="Arial"/>
          <w:szCs w:val="19"/>
        </w:rPr>
        <w:lastRenderedPageBreak/>
        <w:t>členenie zákaziek podľa predpokladanej hodnoty,</w:t>
      </w:r>
    </w:p>
    <w:p w14:paraId="7C0B066B" w14:textId="77777777" w:rsidR="00766068" w:rsidRPr="00703E20" w:rsidRDefault="00766068" w:rsidP="009A78AB">
      <w:pPr>
        <w:numPr>
          <w:ilvl w:val="0"/>
          <w:numId w:val="59"/>
        </w:numPr>
        <w:spacing w:before="120" w:after="120" w:line="288" w:lineRule="auto"/>
        <w:rPr>
          <w:rFonts w:cs="Arial"/>
          <w:szCs w:val="19"/>
        </w:rPr>
      </w:pPr>
      <w:r w:rsidRPr="00703E20">
        <w:rPr>
          <w:rFonts w:cs="Arial"/>
          <w:szCs w:val="19"/>
        </w:rPr>
        <w:t>postup VO,</w:t>
      </w:r>
    </w:p>
    <w:p w14:paraId="44F2ED4E" w14:textId="05D3CF6A" w:rsidR="00766068" w:rsidRPr="0073389C" w:rsidRDefault="00766068" w:rsidP="009A78AB">
      <w:pPr>
        <w:numPr>
          <w:ilvl w:val="0"/>
          <w:numId w:val="59"/>
        </w:numPr>
        <w:spacing w:before="120" w:after="120" w:line="288" w:lineRule="auto"/>
      </w:pPr>
      <w:r w:rsidRPr="00703E20">
        <w:rPr>
          <w:rFonts w:cs="Arial"/>
          <w:szCs w:val="19"/>
        </w:rPr>
        <w:t>predpokladanú hodnotu zákazky bez DPH</w:t>
      </w:r>
      <w:r>
        <w:rPr>
          <w:rFonts w:cs="Arial"/>
          <w:szCs w:val="19"/>
        </w:rPr>
        <w:t>,</w:t>
      </w:r>
    </w:p>
    <w:p w14:paraId="7A55D24D" w14:textId="77777777" w:rsidR="009D7F63" w:rsidRPr="0073389C" w:rsidRDefault="009D7F63" w:rsidP="009A78AB">
      <w:pPr>
        <w:numPr>
          <w:ilvl w:val="0"/>
          <w:numId w:val="59"/>
        </w:numPr>
        <w:spacing w:before="120" w:after="120" w:line="288" w:lineRule="auto"/>
      </w:pPr>
      <w:r w:rsidRPr="0073389C">
        <w:t>plánované výdavky v rozpočte projektu za celé obdobie trvania projektu,</w:t>
      </w:r>
    </w:p>
    <w:p w14:paraId="7A55D24E" w14:textId="77777777" w:rsidR="009D7F63" w:rsidRPr="0073389C" w:rsidRDefault="009D7F63" w:rsidP="009A78AB">
      <w:pPr>
        <w:numPr>
          <w:ilvl w:val="0"/>
          <w:numId w:val="59"/>
        </w:numPr>
        <w:spacing w:before="120" w:after="120" w:line="288" w:lineRule="auto"/>
        <w:jc w:val="both"/>
      </w:pPr>
      <w:r w:rsidRPr="0073389C">
        <w:t>plánované výdavky, ktoré plánuje prijímateľ financovať mimo rozpočtu projektu (napr. pre organizáciu),</w:t>
      </w:r>
    </w:p>
    <w:p w14:paraId="7A55D24F" w14:textId="77777777" w:rsidR="009D7F63" w:rsidRPr="0073389C" w:rsidRDefault="009D7F63" w:rsidP="009A78AB">
      <w:pPr>
        <w:numPr>
          <w:ilvl w:val="0"/>
          <w:numId w:val="59"/>
        </w:numPr>
        <w:spacing w:before="120" w:after="120" w:line="288" w:lineRule="auto"/>
      </w:pPr>
      <w:r w:rsidRPr="0073389C">
        <w:t>predpokladaný termín vyhlásenia verejného obstarávania (ďalej len „VO“),</w:t>
      </w:r>
    </w:p>
    <w:p w14:paraId="7A55D253" w14:textId="02102278" w:rsidR="009D7F63" w:rsidRPr="0073389C" w:rsidRDefault="009D7F63" w:rsidP="009A78AB">
      <w:pPr>
        <w:numPr>
          <w:ilvl w:val="0"/>
          <w:numId w:val="59"/>
        </w:numPr>
        <w:spacing w:before="120" w:after="120" w:line="288" w:lineRule="auto"/>
      </w:pPr>
      <w:r w:rsidRPr="0073389C">
        <w:t>trvanie zmluvy  v</w:t>
      </w:r>
      <w:r w:rsidR="008E08AF">
        <w:t> </w:t>
      </w:r>
      <w:r w:rsidRPr="0073389C">
        <w:t>mesiacoch</w:t>
      </w:r>
      <w:r w:rsidR="008E08AF">
        <w:t>,</w:t>
      </w:r>
    </w:p>
    <w:p w14:paraId="7A55D254" w14:textId="718EFFB3" w:rsidR="009D7F63" w:rsidRPr="0073389C" w:rsidRDefault="009D7F63" w:rsidP="009A78AB">
      <w:pPr>
        <w:numPr>
          <w:ilvl w:val="0"/>
          <w:numId w:val="59"/>
        </w:numPr>
        <w:spacing w:before="120" w:after="120" w:line="288" w:lineRule="auto"/>
      </w:pPr>
      <w:r w:rsidRPr="0073389C">
        <w:t>postup pri obstarávaní zákaziek, na ktoré sa podľa § 1 ZVO nevzťahujú ustanovenia ZVO tak, aby boli dodržané základné princípy VO.</w:t>
      </w:r>
    </w:p>
    <w:p w14:paraId="54D4F3CE" w14:textId="780D3F48"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poskytovateľovi plán obstarávaní elektronicky na adresu </w:t>
      </w:r>
      <w:r w:rsidR="00B024C5" w:rsidRPr="001E3C46">
        <w:t>vo</w:t>
      </w:r>
      <w:r w:rsidR="00B024C5">
        <w:t>.sep</w:t>
      </w:r>
      <w:r w:rsidRPr="0073389C">
        <w:t xml:space="preserve">@minv.sk </w:t>
      </w:r>
      <w:r w:rsidRPr="0073389C">
        <w:rPr>
          <w:b/>
        </w:rPr>
        <w:t>minimálne 10 pracovných dní pred termínom vyhlásenia prvého VO</w:t>
      </w:r>
      <w:r w:rsidR="00A737D2">
        <w:rPr>
          <w:b/>
        </w:rPr>
        <w:t xml:space="preserve"> </w:t>
      </w:r>
      <w:r w:rsidR="00A737D2" w:rsidRPr="00E8012F">
        <w:t>financovaného z NFP predmetného projektu</w:t>
      </w:r>
      <w:r w:rsidRPr="0073389C">
        <w:t xml:space="preserve">. </w:t>
      </w:r>
      <w:r w:rsidR="00766068" w:rsidRPr="00766068">
        <w:t>Súčasne prijímateľ predkladá plán obstarávaní na príslušný kalendárny rok v zmysle ZVO za organizáciu.</w:t>
      </w:r>
    </w:p>
    <w:p w14:paraId="7A55D255" w14:textId="2266664E" w:rsidR="009D7F63" w:rsidRPr="0073389C" w:rsidRDefault="00766068" w:rsidP="009D7F63">
      <w:pPr>
        <w:spacing w:before="120" w:after="120" w:line="288" w:lineRule="auto"/>
        <w:jc w:val="both"/>
      </w:pPr>
      <w:r w:rsidRPr="00766068">
        <w:t>V prípade identifikácie nedostatkov zo strany poskytovateľa, je prijímateľ povinný</w:t>
      </w:r>
      <w:r w:rsidR="007853DB">
        <w:t xml:space="preserve"> </w:t>
      </w:r>
      <w:r w:rsidR="007853DB" w:rsidRPr="007853DB">
        <w:t>na základe vyzvania poskytovateľa  zohľadniť zistenia poskytovateľa</w:t>
      </w:r>
      <w:r w:rsidRPr="00766068">
        <w:t xml:space="preserve"> prepracovať plán obstarávaní a opätovne ho predložiť poskytovateľovi.</w:t>
      </w:r>
    </w:p>
    <w:p w14:paraId="7A55D259" w14:textId="15F45796" w:rsidR="009D7F63" w:rsidRPr="0073389C" w:rsidRDefault="00C03581" w:rsidP="009D7F63">
      <w:pPr>
        <w:spacing w:before="120" w:after="120" w:line="288" w:lineRule="auto"/>
        <w:jc w:val="both"/>
      </w:pPr>
      <w:r>
        <w:rPr>
          <w:b/>
        </w:rPr>
        <w:t>A</w:t>
      </w:r>
      <w:r w:rsidRPr="0073389C">
        <w:rPr>
          <w:b/>
        </w:rPr>
        <w:t>k</w:t>
      </w:r>
      <w:r w:rsidR="009D7F63" w:rsidRPr="0073389C">
        <w:rPr>
          <w:b/>
        </w:rPr>
        <w:t xml:space="preserve"> po </w:t>
      </w:r>
      <w:r w:rsidR="00DE6112">
        <w:rPr>
          <w:b/>
        </w:rPr>
        <w:t xml:space="preserve">predložení </w:t>
      </w:r>
      <w:r w:rsidR="009D7F63" w:rsidRPr="0073389C">
        <w:rPr>
          <w:b/>
        </w:rPr>
        <w:t>plánu</w:t>
      </w:r>
      <w:r w:rsidR="009D7F63" w:rsidRPr="0073389C">
        <w:rPr>
          <w:b/>
          <w:u w:val="single"/>
        </w:rPr>
        <w:t xml:space="preserve"> obstarávaní</w:t>
      </w:r>
      <w:r w:rsidR="009D7F63" w:rsidRPr="0073389C">
        <w:rPr>
          <w:u w:val="single"/>
        </w:rPr>
        <w:t xml:space="preserve"> dôjde k zmene výšky rozpočtových položiek alebo sa zmení predpokladaný časový harmonogram, prípadne nastane iná zmena, a takouto zmenou dôjde k zmene</w:t>
      </w:r>
      <w:r w:rsidR="009D7F63" w:rsidRPr="0073389C">
        <w:rPr>
          <w:b/>
          <w:u w:val="single"/>
        </w:rPr>
        <w:t xml:space="preserve"> postupu zadávania zákazky tak, ako bol</w:t>
      </w:r>
      <w:r w:rsidR="00766068">
        <w:rPr>
          <w:b/>
          <w:u w:val="single"/>
        </w:rPr>
        <w:t>o uvedené v predloženom</w:t>
      </w:r>
      <w:r w:rsidR="009D7F63" w:rsidRPr="0073389C">
        <w:rPr>
          <w:b/>
          <w:u w:val="single"/>
        </w:rPr>
        <w:t xml:space="preserve">  pláne obstarávania</w:t>
      </w:r>
      <w:r w:rsidR="009D7F63" w:rsidRPr="0073389C">
        <w:rPr>
          <w:u w:val="single"/>
        </w:rPr>
        <w:t xml:space="preserve"> (napr. aj po sčítaní položiek bude prijímateľ postupovať postupom pre zadávanie nadlimitných alebo podlimitných zákaziek, prípadne </w:t>
      </w:r>
      <w:r w:rsidR="00831FF3">
        <w:rPr>
          <w:u w:val="single"/>
        </w:rPr>
        <w:t>zákaziek s nízkou hodnotou</w:t>
      </w:r>
      <w:r w:rsidR="009D7F63" w:rsidRPr="0073389C">
        <w:rPr>
          <w:u w:val="single"/>
        </w:rPr>
        <w:t>)</w:t>
      </w:r>
      <w:r>
        <w:rPr>
          <w:u w:val="single"/>
        </w:rPr>
        <w:t>,</w:t>
      </w:r>
      <w:r w:rsidRPr="00C03581">
        <w:rPr>
          <w:rFonts w:cs="Arial"/>
          <w:szCs w:val="19"/>
          <w:u w:val="single"/>
        </w:rPr>
        <w:t xml:space="preserve"> </w:t>
      </w:r>
      <w:r w:rsidRPr="00C03581">
        <w:rPr>
          <w:u w:val="single"/>
        </w:rPr>
        <w:t xml:space="preserve">prijímateľ je zároveň povinný </w:t>
      </w:r>
      <w:r w:rsidRPr="00C03581">
        <w:rPr>
          <w:b/>
          <w:u w:val="single"/>
        </w:rPr>
        <w:t>opätovne prepracovať plán obstarávaní a opätovne ho predkladať  poskytovateľovi</w:t>
      </w:r>
      <w:r w:rsidR="009D7F63" w:rsidRPr="0073389C">
        <w:rPr>
          <w:u w:val="single"/>
        </w:rPr>
        <w:t>.</w:t>
      </w:r>
    </w:p>
    <w:p w14:paraId="7A55D25A" w14:textId="5BF4850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Pr="0073389C">
        <w:rPr>
          <w:b/>
        </w:rPr>
        <w:t xml:space="preserve">je povinný predložiť prepracovaný plán obstarávania </w:t>
      </w:r>
      <w:r w:rsidR="007E2E5E">
        <w:rPr>
          <w:b/>
        </w:rPr>
        <w:t xml:space="preserve">poskytovateľovi </w:t>
      </w:r>
      <w:r w:rsidR="007E2E5E">
        <w:t xml:space="preserve"> </w:t>
      </w:r>
      <w:r w:rsidRPr="0073389C">
        <w:rPr>
          <w:b/>
        </w:rPr>
        <w:t>len v tom prípade, ak sa navrhovanou zmenou zmení postup zadávania zákazky</w:t>
      </w:r>
      <w:r w:rsidRPr="0073389C">
        <w:t xml:space="preserve"> </w:t>
      </w:r>
      <w:r w:rsidR="007E2E5E">
        <w:t xml:space="preserve">oproti tomu, ktorý </w:t>
      </w:r>
      <w:r w:rsidRPr="0073389C">
        <w:t xml:space="preserve">bol </w:t>
      </w:r>
      <w:r w:rsidR="007E2E5E">
        <w:t>uvedený v pôvodnom</w:t>
      </w:r>
      <w:r w:rsidR="007E2E5E" w:rsidRPr="0073389C">
        <w:t xml:space="preserve"> </w:t>
      </w:r>
      <w:r w:rsidRPr="0073389C">
        <w:t>v pláne obstarávania. Súčasne prijímateľ predkladá plán obstarávaní na príslušný kalendárny rok v zmysle ZVO</w:t>
      </w:r>
      <w:r w:rsidR="007E2E5E">
        <w:t xml:space="preserve"> za organizáciu</w:t>
      </w:r>
      <w:r w:rsidRPr="0073389C">
        <w:t xml:space="preserve">. </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1" w:name="_Toc359942925"/>
      <w:bookmarkStart w:id="132" w:name="_Toc359943221"/>
      <w:bookmarkStart w:id="133" w:name="_Toc359943517"/>
      <w:bookmarkStart w:id="134" w:name="_Toc359943819"/>
      <w:bookmarkStart w:id="135" w:name="_Toc359944121"/>
      <w:bookmarkStart w:id="136" w:name="_Toc359944421"/>
      <w:bookmarkStart w:id="137" w:name="_Toc360024481"/>
      <w:bookmarkStart w:id="138" w:name="_Toc360030476"/>
      <w:bookmarkStart w:id="139" w:name="_Toc360031226"/>
      <w:bookmarkStart w:id="140" w:name="_Toc360109828"/>
      <w:bookmarkStart w:id="141" w:name="_Toc360110138"/>
      <w:bookmarkStart w:id="142" w:name="_Toc360118328"/>
      <w:bookmarkStart w:id="143" w:name="_Toc360118643"/>
      <w:bookmarkStart w:id="144" w:name="_Toc360031227"/>
      <w:bookmarkStart w:id="145" w:name="_Toc409190740"/>
      <w:bookmarkStart w:id="146" w:name="_Toc440372879"/>
      <w:bookmarkStart w:id="147" w:name="_Toc440636390"/>
      <w:bookmarkEnd w:id="131"/>
      <w:bookmarkEnd w:id="132"/>
      <w:bookmarkEnd w:id="133"/>
      <w:bookmarkEnd w:id="134"/>
      <w:bookmarkEnd w:id="135"/>
      <w:bookmarkEnd w:id="136"/>
      <w:bookmarkEnd w:id="137"/>
      <w:bookmarkEnd w:id="138"/>
      <w:bookmarkEnd w:id="139"/>
      <w:bookmarkEnd w:id="140"/>
      <w:bookmarkEnd w:id="141"/>
      <w:bookmarkEnd w:id="142"/>
      <w:bookmarkEnd w:id="143"/>
      <w:r w:rsidRPr="0073389C">
        <w:rPr>
          <w:lang w:val="sk-SK"/>
        </w:rPr>
        <w:t>Predpokladaná hodnota zákazky</w:t>
      </w:r>
      <w:bookmarkEnd w:id="144"/>
      <w:bookmarkEnd w:id="145"/>
      <w:r w:rsidRPr="0073389C">
        <w:rPr>
          <w:lang w:val="sk-SK"/>
        </w:rPr>
        <w:t xml:space="preserve"> (PHZ)</w:t>
      </w:r>
      <w:bookmarkEnd w:id="146"/>
      <w:bookmarkEnd w:id="147"/>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31FCC433" w14:textId="04BF1DDA"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14:paraId="7A55D25F" w14:textId="7770CFE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 odôvodniteľných prípadoch. Uvedené nemá vplyv na povinnosť určenia PHZ pred vyhlásením VO. Ak sa určia podmienky účasti v spojení s predpokladanou hodnotou alebo ak sa vyžaduje zábezpeka, je nutné vždy v oznámení uvádzať PHZ.</w:t>
      </w:r>
      <w:r w:rsidRPr="0073389C">
        <w:t xml:space="preserve"> </w:t>
      </w:r>
    </w:p>
    <w:p w14:paraId="7A55D260" w14:textId="284D9615"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14:paraId="7A55D261" w14:textId="67D09E4D"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4955DF04"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654A31FF"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Prijímateľ je povinný pri realizácii prieskumu trhu osloviť, resp. vykonať prieskum trhu u min. 3 potenciálnych dodávateľov. Možnosti získania informácií za účelom stanovenia PHZ sú uvedené nižšie.</w:t>
      </w: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1130B9F9"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1"/>
      </w:r>
      <w:r w:rsidRPr="0073389C">
        <w:rPr>
          <w:rFonts w:cs="Arial"/>
          <w:szCs w:val="19"/>
          <w:lang w:val="sk-SK"/>
        </w:rPr>
        <w:t>;</w:t>
      </w:r>
    </w:p>
    <w:p w14:paraId="7A55D269" w14:textId="15F4D8B3"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z webových sídiel 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7A55D26A"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lastRenderedPageBreak/>
        <w:t>z vlastnej databázy o skutočných nákladoch rovnakej alebo porovnateľnej obstarávanej komodity, ktoré boli obstarávané v predchádzajúcom kalendárnom roku (upravenej o očakávané zmeny);</w:t>
      </w:r>
    </w:p>
    <w:p w14:paraId="7A55D26B" w14:textId="7E597DA2"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dodávateľov;</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77777777"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aktuálnych katalógov dodávateľov (listinných, uvedených na internetových stránkach).</w:t>
      </w: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5D334FBE" w:rsidR="009D7F63" w:rsidRPr="0073389C" w:rsidRDefault="009D7F63" w:rsidP="009D7F63">
      <w:pPr>
        <w:spacing w:before="120" w:after="120" w:line="288" w:lineRule="auto"/>
        <w:jc w:val="both"/>
      </w:pPr>
      <w:r w:rsidRPr="0073389C">
        <w:t>V prípade, ak je vysúťažená hodnota zákazky vyššia ako jej predpokladaná hodnota (rozpočet) uvedená v zmluve o NFP, poskytovateľ preplatí výdavky len do výšky sumy schválenej v </w:t>
      </w:r>
      <w:r w:rsidR="000A2AD4">
        <w:t>Žo</w:t>
      </w:r>
      <w:r w:rsidRPr="0073389C">
        <w:t xml:space="preserve">NFP a uvedenej v </w:t>
      </w:r>
      <w:r w:rsidR="000A2AD4">
        <w:t>z</w:t>
      </w:r>
      <w:r w:rsidRPr="0073389C">
        <w:t>mluve o NFP.</w:t>
      </w:r>
    </w:p>
    <w:p w14:paraId="7A55D26F" w14:textId="77777777" w:rsidR="009D7F63" w:rsidRPr="0073389C" w:rsidRDefault="009D7F63" w:rsidP="009D7F63">
      <w:pPr>
        <w:spacing w:before="120" w:after="120" w:line="288" w:lineRule="auto"/>
        <w:jc w:val="both"/>
      </w:pPr>
    </w:p>
    <w:p w14:paraId="7A55D270" w14:textId="77777777" w:rsidR="009D7F63" w:rsidRPr="0073389C" w:rsidRDefault="009D7F63" w:rsidP="009D7F63">
      <w:pPr>
        <w:pStyle w:val="Nadpis3"/>
        <w:ind w:left="567" w:firstLine="0"/>
        <w:rPr>
          <w:lang w:val="sk-SK"/>
        </w:rPr>
      </w:pPr>
      <w:bookmarkStart w:id="148" w:name="_Toc359942927"/>
      <w:bookmarkStart w:id="149" w:name="_Toc359943223"/>
      <w:bookmarkStart w:id="150" w:name="_Toc359943519"/>
      <w:bookmarkStart w:id="151" w:name="_Toc359943821"/>
      <w:bookmarkStart w:id="152" w:name="_Toc359944123"/>
      <w:bookmarkStart w:id="153" w:name="_Toc359944423"/>
      <w:bookmarkStart w:id="154" w:name="_Toc360024483"/>
      <w:bookmarkStart w:id="155" w:name="_Toc360030478"/>
      <w:bookmarkStart w:id="156" w:name="_Toc360031228"/>
      <w:bookmarkStart w:id="157" w:name="_Toc360109830"/>
      <w:bookmarkStart w:id="158" w:name="_Toc360110140"/>
      <w:bookmarkStart w:id="159" w:name="_Toc360118330"/>
      <w:bookmarkStart w:id="160" w:name="_Toc360118645"/>
      <w:bookmarkStart w:id="161" w:name="_Toc409190741"/>
      <w:bookmarkStart w:id="162" w:name="_Toc360031229"/>
      <w:bookmarkStart w:id="163" w:name="_Toc440372880"/>
      <w:bookmarkStart w:id="164" w:name="_Toc440636391"/>
      <w:bookmarkEnd w:id="148"/>
      <w:bookmarkEnd w:id="149"/>
      <w:bookmarkEnd w:id="150"/>
      <w:bookmarkEnd w:id="151"/>
      <w:bookmarkEnd w:id="152"/>
      <w:bookmarkEnd w:id="153"/>
      <w:bookmarkEnd w:id="154"/>
      <w:bookmarkEnd w:id="155"/>
      <w:bookmarkEnd w:id="156"/>
      <w:bookmarkEnd w:id="157"/>
      <w:bookmarkEnd w:id="158"/>
      <w:bookmarkEnd w:id="159"/>
      <w:bookmarkEnd w:id="160"/>
      <w:r w:rsidRPr="0073389C">
        <w:rPr>
          <w:lang w:val="sk-SK"/>
        </w:rPr>
        <w:t>Povinnosť uzatvoriť zmluvu</w:t>
      </w:r>
      <w:bookmarkEnd w:id="161"/>
      <w:bookmarkEnd w:id="162"/>
      <w:bookmarkEnd w:id="163"/>
      <w:bookmarkEnd w:id="164"/>
    </w:p>
    <w:p w14:paraId="7A55D271" w14:textId="6ABF7BE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 5 000 EUR.</w:t>
      </w:r>
      <w:r w:rsidR="001D76D4" w:rsidRPr="001D76D4">
        <w:t xml:space="preserve"> Pri zákazkách, ktorých PHZ je nižšia ako 5 000 EUR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176F9A96" w:rsidR="009D7F63" w:rsidRPr="0073389C" w:rsidRDefault="00C80170" w:rsidP="009D7F63">
      <w:pPr>
        <w:spacing w:before="120" w:after="120" w:line="288" w:lineRule="auto"/>
        <w:jc w:val="both"/>
        <w:rPr>
          <w:lang w:eastAsia="sk-SK"/>
        </w:rPr>
      </w:pPr>
      <w:r w:rsidRPr="00C80170">
        <w:rPr>
          <w:lang w:eastAsia="sk-SK"/>
        </w:rPr>
        <w:t>Zároveň upozorňujeme na povinnosť uzavrieť zmluvu len so subjektom, ktorý má v registri konečných užívateľov výhod zapísaných konečných užívateľov výhod (pozn. platí aj na subdodávateľov a iné osoby, viď § 56 ods. 2, 3 a 16 ZVO)</w:t>
      </w:r>
      <w:r>
        <w:rPr>
          <w:lang w:eastAsia="sk-SK"/>
        </w:rPr>
        <w:t>.</w:t>
      </w:r>
    </w:p>
    <w:p w14:paraId="7A55D274" w14:textId="77777777" w:rsidR="009D7F63" w:rsidRPr="0073389C" w:rsidRDefault="009D7F63" w:rsidP="009D7F63">
      <w:pPr>
        <w:pStyle w:val="Nadpis3"/>
        <w:ind w:left="567" w:firstLine="0"/>
        <w:rPr>
          <w:lang w:val="sk-SK"/>
        </w:rPr>
      </w:pPr>
      <w:bookmarkStart w:id="165" w:name="_Toc440372881"/>
      <w:bookmarkStart w:id="166" w:name="_Toc440636392"/>
      <w:r w:rsidRPr="0073389C">
        <w:rPr>
          <w:lang w:val="sk-SK"/>
        </w:rPr>
        <w:t>Finančné limity</w:t>
      </w:r>
      <w:bookmarkEnd w:id="165"/>
      <w:bookmarkEnd w:id="166"/>
    </w:p>
    <w:p w14:paraId="7A55D275" w14:textId="77777777"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 sú ustanovené všeobecne záväzným právnym predpisom ÚVO</w:t>
      </w:r>
      <w:r w:rsidRPr="0073389C">
        <w:rPr>
          <w:rStyle w:val="Odkaznapoznmkupodiarou"/>
          <w:b/>
          <w:sz w:val="19"/>
          <w:u w:val="single"/>
        </w:rPr>
        <w:footnoteReference w:id="92"/>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7" w:name="_Toc440372882"/>
      <w:bookmarkStart w:id="168" w:name="_Toc440636393"/>
      <w:r w:rsidRPr="0073389C">
        <w:rPr>
          <w:lang w:val="sk-SK"/>
        </w:rPr>
        <w:lastRenderedPageBreak/>
        <w:t>Všeobecné ustanovenia</w:t>
      </w:r>
      <w:bookmarkEnd w:id="167"/>
      <w:bookmarkEnd w:id="168"/>
    </w:p>
    <w:p w14:paraId="7A55D278" w14:textId="1C3D6400"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Časť dokumentácie môže prijímateľ predložiť aj v elektronickej podobe (napr. na </w:t>
      </w:r>
      <w:r w:rsidR="00E575D3">
        <w:rPr>
          <w:rFonts w:cs="Arial"/>
          <w:szCs w:val="19"/>
        </w:rPr>
        <w:t>pevnom neprepisovateľnom nosiči</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Pr="0073389C">
        <w:t>.</w:t>
      </w:r>
      <w:r w:rsidR="00E575D3">
        <w:t xml:space="preserve"> </w:t>
      </w:r>
      <w:r w:rsidR="00E575D3" w:rsidRPr="00E575D3">
        <w:t>V prípade, ak prijímateľ dokumentáciu z VO plánuje predložiť v elektronickej podobe, sprievodný list, čestné vyhlásenia a podpísanú zmluvu s dodávateľom predloží v listinnej podobe. Minimálny rozsah dokumentácie, ktorú prijímateľ predkladá/môže predkladať cez ITMS 2014+ je definovaný rozsahom dokumentácie zverejňovanej v profile verejného obstarávateľa v závislosti od hodnoty a typu zákazky. Úprava povinnosti, resp. možnosti predkladania časti dokumentácie cez ITMS 2014+  závisí od znenia VZP k Zmluve o NFP.</w:t>
      </w:r>
    </w:p>
    <w:p w14:paraId="7A55D279" w14:textId="77777777" w:rsidR="009D7F63" w:rsidRPr="0073389C" w:rsidRDefault="009D7F63" w:rsidP="009D7F63">
      <w:pPr>
        <w:spacing w:before="120" w:after="120" w:line="288" w:lineRule="auto"/>
      </w:pPr>
      <w:r w:rsidRPr="0073389C">
        <w:t>Prijímateľ použije nasledovný postup:</w:t>
      </w:r>
    </w:p>
    <w:p w14:paraId="7A55D27A" w14:textId="3837B46E" w:rsidR="009D7F63" w:rsidRPr="0073389C" w:rsidRDefault="009D7F63" w:rsidP="009A78AB">
      <w:pPr>
        <w:pStyle w:val="Odsekzoznamu"/>
        <w:numPr>
          <w:ilvl w:val="0"/>
          <w:numId w:val="56"/>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14:paraId="7A55D27B" w14:textId="7A321EA0" w:rsidR="009D7F63" w:rsidRPr="0073389C" w:rsidRDefault="009D7F63" w:rsidP="009A78AB">
      <w:pPr>
        <w:pStyle w:val="Odsekzoznamu"/>
        <w:numPr>
          <w:ilvl w:val="0"/>
          <w:numId w:val="56"/>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777777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14:paraId="7A55D27D" w14:textId="7AF18C7B" w:rsidR="009D7F63" w:rsidRPr="0073389C" w:rsidRDefault="009D7F63" w:rsidP="009A78AB">
      <w:pPr>
        <w:pStyle w:val="Odsekzoznamu"/>
        <w:numPr>
          <w:ilvl w:val="0"/>
          <w:numId w:val="56"/>
        </w:numPr>
        <w:spacing w:before="120" w:after="120" w:line="288" w:lineRule="auto"/>
        <w:contextualSpacing w:val="0"/>
        <w:jc w:val="both"/>
      </w:pPr>
      <w:r w:rsidRPr="0073389C">
        <w:t xml:space="preserve">Fotokópie a zoznam predkladaných dokladov následne prijímateľ pevne spojí (napr. zviaže tepelnou alebo hrebeňovou väzbou)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t>V prípade rozsiahlej dokumentácie, resp. z dôvodu lepšej manipulácie prijímateľ dokumentáciu predkladá podľa predchádzajúcich viet v pevnej väzbe, avšak vo viacerých menších zväzkoch.</w:t>
      </w:r>
    </w:p>
    <w:p w14:paraId="7A55D280" w14:textId="77777777" w:rsidR="009D7F63" w:rsidRPr="0073389C" w:rsidRDefault="009D7F63" w:rsidP="009D7F63">
      <w:pPr>
        <w:spacing w:before="120" w:after="120" w:line="288" w:lineRule="auto"/>
        <w:jc w:val="both"/>
      </w:pPr>
    </w:p>
    <w:p w14:paraId="7A55D281" w14:textId="2BAC5F96"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0EBC7E74" w14:textId="004C43EF"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V prípade, ak Poskytovateľ neoboznámi Prijímateľa (nezašle návrh správy z kontroly, resp. správu z kontroly) v lehote určenej na výkon finančnej kontroly obstarávania služieb, tovarov, stavebných prác a súvisiacich postupov (a nedošlo k prerušeniu plynutia lehoty ani k odmietnutiu vykonania prvej ex-ante kontroly pred vyhlásením VO), Prijímateľ nie je oprávnený uzatvoriť zmluvu s úspešným uchádzačom ani vykonať iný úkon, ktorého podmienkou je vykonanie finančnej kontroly (napr. vyhlásenie VO) Poskytovateľom.</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385E14F7" w:rsidR="00A327BE" w:rsidRDefault="00A327BE" w:rsidP="009D7F63">
      <w:pPr>
        <w:pStyle w:val="Zkladntext2"/>
        <w:widowControl w:val="0"/>
        <w:spacing w:before="120" w:after="120" w:line="288" w:lineRule="auto"/>
        <w:jc w:val="both"/>
        <w:rPr>
          <w:rFonts w:ascii="Arial" w:hAnsi="Arial" w:cs="Arial"/>
          <w:i/>
          <w:color w:val="FF0000"/>
          <w:sz w:val="19"/>
          <w:szCs w:val="19"/>
        </w:rPr>
      </w:pPr>
      <w:r w:rsidRPr="00A327BE">
        <w:rPr>
          <w:rFonts w:ascii="Arial" w:hAnsi="Arial" w:cs="Arial"/>
          <w:i/>
          <w:sz w:val="19"/>
          <w:szCs w:val="19"/>
        </w:rPr>
        <w:t>Dôležité upozornenie:</w:t>
      </w:r>
      <w:r w:rsidRPr="00DA7632">
        <w:rPr>
          <w:rFonts w:ascii="Arial" w:hAnsi="Arial" w:cs="Arial"/>
          <w:i/>
          <w:sz w:val="19"/>
          <w:szCs w:val="19"/>
        </w:rPr>
        <w:t xml:space="preserve"> </w:t>
      </w:r>
      <w:r>
        <w:rPr>
          <w:rFonts w:ascii="Arial" w:hAnsi="Arial" w:cs="Arial"/>
          <w:i/>
          <w:sz w:val="19"/>
          <w:szCs w:val="19"/>
        </w:rPr>
        <w:t xml:space="preserve"> </w:t>
      </w:r>
      <w:r w:rsidR="00D11568" w:rsidRPr="00D11568">
        <w:rPr>
          <w:rFonts w:ascii="Arial" w:hAnsi="Arial" w:cs="Arial"/>
          <w:b w:val="0"/>
          <w:sz w:val="19"/>
          <w:szCs w:val="19"/>
        </w:rPr>
        <w:t xml:space="preserve">Ostatné povinnosti prijímateľa týkajúce sa lehoty na vyhlásenie VO na hlavné </w:t>
      </w:r>
      <w:r w:rsidR="00D11568" w:rsidRPr="00D11568">
        <w:rPr>
          <w:rFonts w:ascii="Arial" w:hAnsi="Arial" w:cs="Arial"/>
          <w:b w:val="0"/>
          <w:sz w:val="19"/>
          <w:szCs w:val="19"/>
        </w:rPr>
        <w:lastRenderedPageBreak/>
        <w:t>aktivity projektu, maximálneho počtu opakovaní verejných obstarávaní a pod. sú upravené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DA7632">
        <w:rPr>
          <w:rFonts w:ascii="Arial" w:hAnsi="Arial" w:cs="Arial"/>
          <w:b w:val="0"/>
          <w:sz w:val="19"/>
          <w:szCs w:val="19"/>
        </w:rPr>
        <w:t xml:space="preserve">. </w:t>
      </w:r>
    </w:p>
    <w:p w14:paraId="04CA09FC" w14:textId="77777777"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V  prípade, ak ku dňu nadobudnutia účinnosti Zmluvy o poskytnutí NFP Prijímateľ 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77777777" w:rsidR="00D11568" w:rsidRDefault="00D11568" w:rsidP="00AA5BCC">
      <w:pPr>
        <w:pStyle w:val="Bulletslevel2"/>
        <w:spacing w:after="120" w:line="288" w:lineRule="auto"/>
        <w:ind w:left="567" w:hanging="283"/>
        <w:jc w:val="both"/>
        <w:rPr>
          <w:rFonts w:cs="Arial"/>
          <w:lang w:val="sk-SK"/>
        </w:rPr>
      </w:pPr>
      <w:r w:rsidRPr="00D11568">
        <w:rPr>
          <w:rFonts w:cs="Arial"/>
          <w:lang w:val="sk-SK"/>
        </w:rPr>
        <w:t>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10);</w:t>
      </w:r>
    </w:p>
    <w:p w14:paraId="0516C638" w14:textId="77777777" w:rsidR="00D11568" w:rsidRDefault="00D11568" w:rsidP="00AA5BCC">
      <w:pPr>
        <w:pStyle w:val="Bulletslevel2"/>
        <w:spacing w:after="120" w:line="288" w:lineRule="auto"/>
        <w:ind w:left="567" w:hanging="283"/>
        <w:jc w:val="both"/>
        <w:rPr>
          <w:rFonts w:cs="Arial"/>
          <w:lang w:val="sk-SK"/>
        </w:rPr>
      </w:pPr>
      <w:r w:rsidRPr="00D11568">
        <w:rPr>
          <w:rFonts w:cs="Arial"/>
          <w:lang w:val="sk-SK"/>
        </w:rPr>
        <w:t>čestné vyhlásenie prijímateľa týkajúce sa konfliktu záujmov (vzor príloha č. 9) (netýka sa prvej ex-ante kontroly)</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vysvetlenie, ak sa uskutočnilo;</w:t>
      </w:r>
    </w:p>
    <w:p w14:paraId="7A55D28A" w14:textId="3236E17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menovacie dekréty jednotlivých členov komisie, vrátane ich životopisov,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lastRenderedPageBreak/>
        <w:t>doklady o doručení zápisnice z otvárania ponúk jednotlivým uchádzačom, ktorí predložili ponuky;</w:t>
      </w:r>
    </w:p>
    <w:p w14:paraId="7A55D291"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p>
    <w:p w14:paraId="7A55D292" w14:textId="332FA917"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rokovacieho konania bez zverejnenia, resp.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06585B4"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 xml:space="preserve">screen) preverovania zápisu konečných užívateľov výhod úspešného uchádzača, resp. aj jeho subdodávateľov a osôb podľa § </w:t>
      </w:r>
      <w:r w:rsidR="00552EAD">
        <w:rPr>
          <w:rFonts w:cs="Arial"/>
          <w:lang w:val="sk-SK"/>
        </w:rPr>
        <w:t>33</w:t>
      </w:r>
      <w:r w:rsidR="00552EAD" w:rsidRPr="00F73625">
        <w:rPr>
          <w:rFonts w:cs="Arial"/>
          <w:lang w:val="sk-SK"/>
        </w:rPr>
        <w:t xml:space="preserve"> </w:t>
      </w:r>
      <w:r w:rsidRPr="00F73625">
        <w:rPr>
          <w:rFonts w:cs="Arial"/>
          <w:lang w:val="sk-SK"/>
        </w:rPr>
        <w:t xml:space="preserve">ods. 2 a § </w:t>
      </w:r>
      <w:r w:rsidR="00552EAD">
        <w:rPr>
          <w:rFonts w:cs="Arial"/>
          <w:lang w:val="sk-SK"/>
        </w:rPr>
        <w:t>34</w:t>
      </w:r>
      <w:r w:rsidRPr="00F73625">
        <w:rPr>
          <w:rFonts w:cs="Arial"/>
          <w:lang w:val="sk-SK"/>
        </w:rPr>
        <w:t xml:space="preserve"> ods. </w:t>
      </w:r>
      <w:r w:rsidR="00552EAD">
        <w:rPr>
          <w:rFonts w:cs="Arial"/>
          <w:lang w:val="sk-SK"/>
        </w:rPr>
        <w:t>3</w:t>
      </w:r>
      <w:r w:rsidR="00552EAD" w:rsidRPr="00F73625">
        <w:rPr>
          <w:rFonts w:cs="Arial"/>
          <w:lang w:val="sk-SK"/>
        </w:rPr>
        <w:t xml:space="preserve"> </w:t>
      </w:r>
      <w:r w:rsidRPr="00F73625">
        <w:rPr>
          <w:rFonts w:cs="Arial"/>
          <w:lang w:val="sk-SK"/>
        </w:rPr>
        <w:t xml:space="preserve">ZVO v registri konečných užívateľov 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77777777"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 xml:space="preserve">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7A55D2A1" w14:textId="0047ECD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A46637">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EF2628">
      <w:pPr>
        <w:pStyle w:val="Bulletslevel2"/>
        <w:tabs>
          <w:tab w:val="clear" w:pos="567"/>
          <w:tab w:val="left" w:pos="284"/>
        </w:tabs>
        <w:ind w:left="567" w:hanging="283"/>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9A78AB">
      <w:pPr>
        <w:pStyle w:val="Bulletslevel2"/>
        <w:numPr>
          <w:ilvl w:val="0"/>
          <w:numId w:val="87"/>
        </w:numPr>
        <w:rPr>
          <w:rFonts w:cs="Arial"/>
          <w:lang w:val="sk-SK"/>
        </w:rPr>
      </w:pPr>
      <w:r w:rsidRPr="00144232">
        <w:rPr>
          <w:rFonts w:cs="Arial"/>
          <w:lang w:val="sk-SK"/>
        </w:rPr>
        <w:t>návrh zmluvného formuláru obsahujúceho štandardné zmluvné podmienky;</w:t>
      </w:r>
    </w:p>
    <w:p w14:paraId="20E81109" w14:textId="77777777" w:rsidR="00EF2628" w:rsidRPr="00144232" w:rsidRDefault="00EF2628" w:rsidP="009A78AB">
      <w:pPr>
        <w:pStyle w:val="Bulletslevel2"/>
        <w:numPr>
          <w:ilvl w:val="0"/>
          <w:numId w:val="87"/>
        </w:numPr>
        <w:rPr>
          <w:rFonts w:cs="Arial"/>
          <w:lang w:val="sk-SK"/>
        </w:rPr>
      </w:pPr>
      <w:r w:rsidRPr="00144232">
        <w:rPr>
          <w:rFonts w:cs="Arial"/>
          <w:lang w:val="sk-SK"/>
        </w:rPr>
        <w:t>opis predmetu zákazky;</w:t>
      </w:r>
    </w:p>
    <w:p w14:paraId="01E258EB" w14:textId="77777777" w:rsidR="00EF2628" w:rsidRPr="00144232" w:rsidRDefault="00EF2628" w:rsidP="009A78AB">
      <w:pPr>
        <w:pStyle w:val="Bulletslevel2"/>
        <w:numPr>
          <w:ilvl w:val="0"/>
          <w:numId w:val="87"/>
        </w:numPr>
        <w:rPr>
          <w:rFonts w:cs="Arial"/>
          <w:lang w:val="sk-SK"/>
        </w:rPr>
      </w:pPr>
      <w:r w:rsidRPr="00144232">
        <w:rPr>
          <w:rFonts w:cs="Arial"/>
          <w:lang w:val="sk-SK"/>
        </w:rPr>
        <w:t>prípadné objednávkové atribúty;</w:t>
      </w:r>
    </w:p>
    <w:p w14:paraId="6379F042" w14:textId="77777777" w:rsidR="00EF2628" w:rsidRPr="00144232" w:rsidRDefault="00EF2628" w:rsidP="009A78AB">
      <w:pPr>
        <w:pStyle w:val="Bulletslevel2"/>
        <w:numPr>
          <w:ilvl w:val="0"/>
          <w:numId w:val="87"/>
        </w:numPr>
        <w:rPr>
          <w:rFonts w:cs="Arial"/>
          <w:lang w:val="sk-SK"/>
        </w:rPr>
      </w:pPr>
      <w:r w:rsidRPr="00144232">
        <w:rPr>
          <w:rFonts w:cs="Arial"/>
          <w:lang w:val="sk-SK"/>
        </w:rPr>
        <w:t>automaticky vygenerovanú zmluvu, ktorá je výsledkom VO;</w:t>
      </w:r>
    </w:p>
    <w:p w14:paraId="773F5827" w14:textId="77777777" w:rsidR="00EF2628" w:rsidRDefault="00EF2628" w:rsidP="009A78AB">
      <w:pPr>
        <w:pStyle w:val="Bulletslevel2"/>
        <w:numPr>
          <w:ilvl w:val="0"/>
          <w:numId w:val="87"/>
        </w:numPr>
        <w:tabs>
          <w:tab w:val="clear" w:pos="567"/>
        </w:tabs>
        <w:spacing w:after="120" w:line="288" w:lineRule="auto"/>
        <w:ind w:left="1134" w:hanging="425"/>
        <w:rPr>
          <w:rFonts w:cs="Arial"/>
          <w:lang w:val="sk-SK"/>
        </w:rPr>
      </w:pPr>
      <w:r w:rsidRPr="00EF2628">
        <w:rPr>
          <w:rFonts w:cs="Arial"/>
          <w:lang w:val="sk-SK"/>
        </w:rPr>
        <w:lastRenderedPageBreak/>
        <w:t>protokol, ktorý zachytáva celý priebeh procesu zadávania zákazy prostredníctvom elektronického trhoviska;</w:t>
      </w:r>
    </w:p>
    <w:p w14:paraId="5B529645" w14:textId="14524D4D" w:rsidR="00EF2628" w:rsidRPr="00EF2628" w:rsidRDefault="00EF2628" w:rsidP="009A78AB">
      <w:pPr>
        <w:pStyle w:val="Bulletslevel2"/>
        <w:numPr>
          <w:ilvl w:val="0"/>
          <w:numId w:val="87"/>
        </w:numPr>
        <w:tabs>
          <w:tab w:val="clear" w:pos="567"/>
        </w:tabs>
        <w:spacing w:after="120" w:line="288" w:lineRule="auto"/>
        <w:ind w:left="1134" w:hanging="425"/>
        <w:rPr>
          <w:rFonts w:cs="Arial"/>
          <w:lang w:val="sk-SK"/>
        </w:rPr>
      </w:pPr>
      <w:r w:rsidRPr="00EF2628">
        <w:rPr>
          <w:rFonts w:cs="Arial"/>
          <w:lang w:val="sk-SK"/>
        </w:rPr>
        <w:t>potvrdenie o zverejnení uzavretej zmluvy medzi prijímateľom a úspešným uchádzačom v CRZ;</w:t>
      </w:r>
    </w:p>
    <w:p w14:paraId="3A2BE09D" w14:textId="5B851224"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7A55D2A6" w14:textId="2C716195"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Uvedená informácia bude tvoriť súčasť predloženej dokumentácie na kontrolu VO. Prijímateľ je rovnako povinný na žiadosť poskytovateľa zabezpečiť pre poskytovateľa pasívny prístup pozorovateľa za účelom sledovania priebehu elektronickej aukcie v reálnom čase.</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42BF2C9F"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 xml:space="preserve">ní použitom ako výzva na účasť  sa určí veľkosť a predmet takýchto častí a uvedie, či ponuky možno predložiť na jednu časť, niekoľko častí alebo všetky časti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3"/>
      </w:r>
    </w:p>
    <w:p w14:paraId="7A55D2AB" w14:textId="77777777" w:rsidR="009D7F63" w:rsidRDefault="009D7F63"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lastRenderedPageBreak/>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3D3CDBBE"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Z.z. o ochrane hospodárskej súťaže (konkrétne  dohôd obmedzujúcich súťaž podľa § 4 zákona o ochrane hospodárskej súťaže).   Za účelom zvýšenia informovanosti prijímateľov je v prílohe tejto príručky (Príloha č. </w:t>
      </w:r>
      <w:r w:rsidR="00836B04">
        <w:rPr>
          <w:rFonts w:cs="Arial"/>
          <w:szCs w:val="19"/>
        </w:rPr>
        <w:t>3</w:t>
      </w:r>
      <w:r w:rsidR="005979B7">
        <w:rPr>
          <w:rFonts w:cs="Arial"/>
          <w:szCs w:val="19"/>
        </w:rPr>
        <w:t>3</w:t>
      </w:r>
      <w:r w:rsidRPr="008D5848">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14:paraId="20DC4C63" w14:textId="3F0DA2D1" w:rsidR="00C477FA" w:rsidRPr="00E8012F" w:rsidRDefault="00C477FA" w:rsidP="00E8012F">
      <w:pPr>
        <w:spacing w:line="276" w:lineRule="auto"/>
        <w:jc w:val="both"/>
      </w:pPr>
      <w:r w:rsidRPr="00E8012F">
        <w:t>Prijímateľ má možnosť späťvzatia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69" w:name="_Toc418000109"/>
      <w:bookmarkStart w:id="170" w:name="_Toc440372883"/>
      <w:bookmarkStart w:id="171" w:name="_Toc440636394"/>
      <w:bookmarkEnd w:id="169"/>
      <w:r w:rsidRPr="00C477FA">
        <w:rPr>
          <w:lang w:val="sk-SK"/>
        </w:rPr>
        <w:t xml:space="preserve">Typy </w:t>
      </w:r>
      <w:r w:rsidRPr="0073389C">
        <w:rPr>
          <w:lang w:val="sk-SK"/>
        </w:rPr>
        <w:t>kontroly VO</w:t>
      </w:r>
      <w:bookmarkEnd w:id="170"/>
      <w:bookmarkEnd w:id="171"/>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2224A7C0"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57864A70" w14:textId="683FB3ED" w:rsidR="00C7417C" w:rsidRDefault="009D7F63" w:rsidP="009D7F63">
      <w:pPr>
        <w:spacing w:before="120" w:after="120" w:line="288" w:lineRule="auto"/>
        <w:jc w:val="both"/>
      </w:pPr>
      <w:r w:rsidRPr="0073389C">
        <w:lastRenderedPageBreak/>
        <w:t>Predmetom kontroly</w:t>
      </w:r>
      <w:r w:rsidR="00EE3DD9">
        <w:rPr>
          <w:rFonts w:cs="Arial"/>
          <w:szCs w:val="19"/>
        </w:rPr>
        <w:t xml:space="preserve"> VO</w:t>
      </w:r>
      <w:r w:rsidRPr="0073389C">
        <w:t xml:space="preserve"> zákazky realizovanej cez elektronické trhovisko je okrem dokumentácie preukazujúcej určenie </w:t>
      </w:r>
      <w:r w:rsidR="00F7591D">
        <w:t>PHZ</w:t>
      </w:r>
      <w:r w:rsidRPr="0073389C">
        <w:t>, návrh zmluvného formuláru obsahujúceho štandardné zmluvné podmienky, opis predmetu zákazky a prípadne objednávkové atribúty (najmä konkrétne zmluvné špecifikácie a podmienky súťaže)</w:t>
      </w:r>
      <w:r w:rsidR="00F0718F">
        <w:t xml:space="preserve"> </w:t>
      </w:r>
      <w:r w:rsidR="00F0718F" w:rsidRPr="005F1F6B">
        <w:rPr>
          <w:rFonts w:cs="Arial"/>
          <w:szCs w:val="19"/>
        </w:rPr>
        <w:t>a zároveň v prípade nadlimitných zákaziek realizovaných cez elektronické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451E4383"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 v prípade elektronického trhoviska 10 pracovných dní od doručenia dokumentácie prijímateľom.</w:t>
      </w:r>
    </w:p>
    <w:p w14:paraId="5691C10A" w14:textId="43A88E11" w:rsidR="00C7417C" w:rsidRDefault="00C7417C" w:rsidP="00C064D9">
      <w:pPr>
        <w:spacing w:line="288" w:lineRule="auto"/>
        <w:jc w:val="both"/>
      </w:pPr>
      <w:r w:rsidRPr="00C7417C">
        <w:t xml:space="preserve">Povinnosť prijímateľa predkladať dokumentáciu na ex-ante kontrolu sa vzťahuje na všetky </w:t>
      </w:r>
      <w:r w:rsidR="00160CE0" w:rsidRPr="00160CE0">
        <w:t>nadlimitné zákazky s ohľadom na predpokladanú hodnotu zákazky, resp. na zvolený postup</w:t>
      </w:r>
      <w:r w:rsidRPr="00C7417C">
        <w:t xml:space="preserve"> a na podlimitné zákazky realizované cez elektronické trhovisko podľa § </w:t>
      </w:r>
      <w:r w:rsidR="00C064D9">
        <w:t>108</w:t>
      </w:r>
      <w:r w:rsidR="00C064D9" w:rsidRPr="00C7417C">
        <w:t xml:space="preserve"> </w:t>
      </w:r>
      <w:r w:rsidRPr="00C7417C">
        <w:t>ods. 1 písm. a) ZVO</w:t>
      </w:r>
      <w:r w:rsidR="00160CE0" w:rsidRPr="00160CE0">
        <w:t xml:space="preserve"> a podlimitné zákazky pri službách uvedených v prílohe č. 1 ZVO (sociálne služby a iné osobitné služby)</w:t>
      </w:r>
      <w:r w:rsidR="00160CE0">
        <w:t xml:space="preserve"> </w:t>
      </w:r>
      <w:r w:rsidRPr="00C7417C">
        <w:t xml:space="preserve">. </w:t>
      </w: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62C6E6F5"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C7417C" w:rsidRPr="008D5848">
        <w:t xml:space="preserve">-ante kontrola sa nevykonáva pri: </w:t>
      </w:r>
    </w:p>
    <w:p w14:paraId="271947DC" w14:textId="3B30748A"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zákazkách </w:t>
      </w:r>
      <w:r w:rsidR="00C064D9">
        <w:t>s nízk</w:t>
      </w:r>
      <w:r w:rsidR="00E322E9">
        <w:t>ymi</w:t>
      </w:r>
      <w:r w:rsidR="00C064D9">
        <w:t xml:space="preserve"> hodnot</w:t>
      </w:r>
      <w:r w:rsidR="00E322E9">
        <w:t>ami podľa § 117 ZVO</w:t>
      </w:r>
      <w:r w:rsidRPr="008D5848">
        <w:t xml:space="preserve">; </w:t>
      </w:r>
    </w:p>
    <w:p w14:paraId="0FE68191" w14:textId="77777777"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t xml:space="preserve">kontrole VO v rámci schvaľovania ŽoNFP; </w:t>
      </w:r>
    </w:p>
    <w:p w14:paraId="2A44826F" w14:textId="77777777" w:rsidR="00E322E9" w:rsidRDefault="00C7417C" w:rsidP="00E8012F">
      <w:pPr>
        <w:pBdr>
          <w:top w:val="single" w:sz="4" w:space="1" w:color="auto"/>
          <w:left w:val="single" w:sz="4" w:space="4" w:color="auto"/>
          <w:bottom w:val="single" w:sz="4" w:space="1" w:color="auto"/>
          <w:right w:val="single" w:sz="4" w:space="4" w:color="auto"/>
        </w:pBdr>
        <w:shd w:val="clear" w:color="auto" w:fill="00A1DE"/>
        <w:spacing w:line="276" w:lineRule="auto"/>
        <w:ind w:left="720" w:hanging="720"/>
        <w:jc w:val="both"/>
      </w:pPr>
      <w:r w:rsidRPr="008D5848">
        <w:t>•</w:t>
      </w:r>
      <w:r w:rsidRPr="008D5848">
        <w:tab/>
        <w:t xml:space="preserve">podlimitných zákazkách realizovaným postupom podľa § </w:t>
      </w:r>
      <w:r w:rsidR="00C064D9">
        <w:t>113</w:t>
      </w:r>
      <w:r w:rsidR="00C064D9" w:rsidRPr="008D5848">
        <w:t xml:space="preserve"> </w:t>
      </w:r>
      <w:r w:rsidRPr="008D5848">
        <w:t xml:space="preserve">až </w:t>
      </w:r>
      <w:r w:rsidR="00C064D9">
        <w:t>116</w:t>
      </w:r>
      <w:r w:rsidR="00C064D9" w:rsidRPr="008D5848">
        <w:t xml:space="preserve"> </w:t>
      </w:r>
      <w:r w:rsidRPr="008D5848">
        <w:t>ZVO</w:t>
      </w:r>
      <w:r w:rsidR="00E322E9">
        <w:t xml:space="preserve">, </w:t>
      </w:r>
      <w:r w:rsidR="00E322E9" w:rsidRPr="00E322E9">
        <w:t>okrem podlimitných zákaziek pri službách uvedených v prílohe č. 1 ZVO (sociálne služby a iné osobitné služby)</w:t>
      </w:r>
      <w:r w:rsidR="00E322E9">
        <w:t xml:space="preserve">; </w:t>
      </w:r>
    </w:p>
    <w:p w14:paraId="0CECE541" w14:textId="214C9AAB" w:rsidR="00C7417C" w:rsidRPr="008D5848" w:rsidRDefault="00E322E9" w:rsidP="00E8012F">
      <w:pPr>
        <w:pStyle w:val="Odsekzoznamu"/>
        <w:numPr>
          <w:ilvl w:val="0"/>
          <w:numId w:val="115"/>
        </w:numPr>
        <w:pBdr>
          <w:top w:val="single" w:sz="4" w:space="1" w:color="auto"/>
          <w:left w:val="single" w:sz="4" w:space="4" w:color="auto"/>
          <w:bottom w:val="single" w:sz="4" w:space="1" w:color="auto"/>
          <w:right w:val="single" w:sz="4" w:space="4" w:color="auto"/>
        </w:pBdr>
        <w:shd w:val="clear" w:color="auto" w:fill="00A1DE"/>
        <w:spacing w:line="276" w:lineRule="auto"/>
        <w:ind w:hanging="720"/>
        <w:jc w:val="both"/>
      </w:pPr>
      <w:r w:rsidRPr="00E322E9">
        <w:t>nadlimitných zákazkách zadávaných centrálnou obstarávacou organizáciou podľa § 15 ods. 2 ZVO</w:t>
      </w:r>
      <w:r w:rsidR="00C7417C" w:rsidRPr="008D5848">
        <w:t>.</w:t>
      </w:r>
    </w:p>
    <w:p w14:paraId="3F81171F" w14:textId="77777777" w:rsidR="00C7417C" w:rsidRDefault="00C7417C" w:rsidP="00C7417C">
      <w:pPr>
        <w:spacing w:before="120" w:after="120" w:line="288" w:lineRule="auto"/>
        <w:jc w:val="both"/>
      </w:pPr>
    </w:p>
    <w:p w14:paraId="75CB443A" w14:textId="49E28555" w:rsidR="00A327BE" w:rsidRPr="00AC3647" w:rsidRDefault="00A327BE" w:rsidP="00A327BE">
      <w:pPr>
        <w:spacing w:line="288" w:lineRule="auto"/>
        <w:jc w:val="both"/>
        <w:rPr>
          <w:rFonts w:cs="Arial"/>
          <w:szCs w:val="19"/>
        </w:rPr>
      </w:pPr>
      <w:r w:rsidRPr="0073389C">
        <w:rPr>
          <w:b/>
          <w:i/>
          <w:color w:val="FF0000"/>
        </w:rPr>
        <w:t>Povinnosť prijímateľa:</w:t>
      </w:r>
      <w:r w:rsidRPr="0073389C">
        <w:rPr>
          <w:color w:val="FF0000"/>
        </w:rPr>
        <w:t xml:space="preserve"> </w:t>
      </w:r>
      <w:r w:rsidRPr="00703E20">
        <w:rPr>
          <w:rFonts w:cs="Arial"/>
          <w:color w:val="FF0000"/>
          <w:szCs w:val="19"/>
        </w:rPr>
        <w:t xml:space="preserve"> </w:t>
      </w:r>
      <w:r w:rsidRPr="00AC3647">
        <w:rPr>
          <w:rFonts w:cs="Arial"/>
          <w:szCs w:val="19"/>
        </w:rPr>
        <w:t xml:space="preserve">Prijímateľ je povinný </w:t>
      </w:r>
      <w:r w:rsidRPr="00AC3647">
        <w:rPr>
          <w:rFonts w:cs="Arial"/>
          <w:b/>
          <w:szCs w:val="19"/>
        </w:rPr>
        <w:t xml:space="preserve">do 15 dní odo dňa doručenia oznámenia o schválení </w:t>
      </w:r>
      <w:r>
        <w:rPr>
          <w:rFonts w:cs="Arial"/>
          <w:b/>
          <w:szCs w:val="19"/>
        </w:rPr>
        <w:t xml:space="preserve">prvej </w:t>
      </w:r>
      <w:r w:rsidRPr="00AC3647">
        <w:rPr>
          <w:rFonts w:cs="Arial"/>
          <w:b/>
          <w:szCs w:val="19"/>
        </w:rPr>
        <w:t>ex-ante kontroly</w:t>
      </w:r>
      <w:r w:rsidRPr="00AC3647">
        <w:rPr>
          <w:rFonts w:cs="Arial"/>
          <w:szCs w:val="19"/>
        </w:rPr>
        <w:t xml:space="preserve"> zverejniť oznámenie o začatí verejného obstarávania vo vestníku verejného obstarávania</w:t>
      </w:r>
      <w:r w:rsidR="00E322E9">
        <w:rPr>
          <w:rFonts w:cs="Arial"/>
          <w:szCs w:val="19"/>
        </w:rPr>
        <w:t xml:space="preserve">, </w:t>
      </w:r>
      <w:r w:rsidR="00E322E9" w:rsidRPr="00E322E9">
        <w:rPr>
          <w:rFonts w:cs="Arial"/>
          <w:szCs w:val="19"/>
        </w:rPr>
        <w:t>resp. na elektronickom trhovisku</w:t>
      </w:r>
      <w:r w:rsidRPr="00AC3647">
        <w:rPr>
          <w:rFonts w:cs="Arial"/>
          <w:szCs w:val="19"/>
        </w:rPr>
        <w:t>. Uvedené neplatí v prípade odôvodnenej požiadavky Prijímateľa o predĺženie tejto lehoty doručenej Poskytovateľovi ešte pred uplynutím uvedenej lehoty.</w:t>
      </w:r>
    </w:p>
    <w:p w14:paraId="5789F0B1" w14:textId="77777777" w:rsidR="00A327BE" w:rsidRPr="0073389C" w:rsidRDefault="00A327BE" w:rsidP="00C7417C">
      <w:pPr>
        <w:spacing w:before="120" w:after="120" w:line="288" w:lineRule="auto"/>
        <w:jc w:val="both"/>
      </w:pPr>
    </w:p>
    <w:p w14:paraId="7A55D2B4" w14:textId="17A3960D"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prestáva plynúť lehota na výkon kontroly</w:t>
      </w:r>
      <w:r w:rsidR="00F8192B" w:rsidRPr="008D5848">
        <w:rPr>
          <w:rFonts w:cs="Arial"/>
          <w:szCs w:val="19"/>
        </w:rPr>
        <w:t xml:space="preserve"> VO</w:t>
      </w:r>
      <w:r w:rsidR="0020630C" w:rsidRPr="008D5848">
        <w:rPr>
          <w:rFonts w:cs="Arial"/>
          <w:szCs w:val="19"/>
        </w:rPr>
        <w:t xml:space="preserve">. Dňom nasledujúcim po dni doručenia vysvetlenia alebo doplnenia dokumentácie poskytovateľovi začína plynúť nová lehota na výkon kontroly VO. </w:t>
      </w:r>
    </w:p>
    <w:p w14:paraId="32B85B2A" w14:textId="3878C37D" w:rsidR="00C7417C" w:rsidRDefault="00C7417C" w:rsidP="009D7F63">
      <w:pPr>
        <w:spacing w:before="120" w:after="120" w:line="288" w:lineRule="auto"/>
        <w:jc w:val="both"/>
      </w:pPr>
    </w:p>
    <w:p w14:paraId="7E3C4603" w14:textId="318FE7BA"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(10 pracovných dní v prípade elektronického trhoviska) na kontrolu VO.</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1A0D0B5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 xml:space="preserve">ani po druhej výzve poskytovateľa prijímateľ nezabezpečí uspokojivú opravu kontrolovanej dokumentácie, poskytovateľ žiadosť o prvú ex-ante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ex-ante kontrole</w:t>
      </w:r>
      <w:r w:rsidR="00CA0961">
        <w:rPr>
          <w:rFonts w:cs="Arial"/>
          <w:szCs w:val="19"/>
        </w:rPr>
        <w:t xml:space="preserve"> </w:t>
      </w:r>
      <w:r w:rsidRPr="0073389C">
        <w:t xml:space="preserve">, ktoré mali alebo mohli mať vplyv na výsledok VO, nebude </w:t>
      </w:r>
      <w:r w:rsidR="00CA0961">
        <w:rPr>
          <w:rFonts w:cs="Arial"/>
          <w:szCs w:val="19"/>
        </w:rPr>
        <w:t xml:space="preserve">poskytovateľ </w:t>
      </w:r>
      <w:r w:rsidRPr="0073389C">
        <w:t xml:space="preserve">oprávnený postupovať vo veci určenia ex-ante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nebudú schválené</w:t>
      </w:r>
      <w:r w:rsidRPr="0073389C">
        <w:t xml:space="preserve"> na financovanie v plnom rozsahu. </w:t>
      </w:r>
    </w:p>
    <w:p w14:paraId="68EE2663" w14:textId="77777777" w:rsidR="00C7417C" w:rsidRDefault="00C7417C" w:rsidP="009D7F63">
      <w:pPr>
        <w:spacing w:before="120" w:after="120" w:line="288" w:lineRule="auto"/>
        <w:jc w:val="both"/>
        <w:rPr>
          <w:b/>
        </w:rPr>
      </w:pPr>
    </w:p>
    <w:p w14:paraId="444774FE" w14:textId="06C4A2AC"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posudzované ako podstatné porušenie </w:t>
      </w:r>
      <w:r w:rsidR="00320FAE">
        <w:t>z</w:t>
      </w:r>
      <w:r w:rsidRPr="001C44C7">
        <w:t xml:space="preserve">mluvy o NFP zo strany prijímateľa. Zároveň v takýchto prípadoch nebude </w:t>
      </w:r>
      <w:r w:rsidR="00795A52">
        <w:t>poskytovateľ</w:t>
      </w:r>
      <w:r w:rsidRPr="001C44C7">
        <w:t xml:space="preserve"> oprávnený pri identifikovaní nedostatkov pri ex-post kontrole VO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Rovnako, pokiaľ prijímateľ vyhlási VO v rozpore s požiadavkami </w:t>
      </w:r>
      <w:r w:rsidR="00795A52">
        <w:t>poskytovateľa</w:t>
      </w:r>
      <w:r w:rsidRPr="001C44C7">
        <w:t xml:space="preserve"> vyplývajúcimi z výsledkov ex-ante kontroly a v rámci ex-post kontroly </w:t>
      </w:r>
      <w:r w:rsidR="00795A52">
        <w:t>poskytovateľ</w:t>
      </w:r>
      <w:r w:rsidRPr="001C44C7">
        <w:t xml:space="preserve"> zistí pochybenie pri VO súvisiace s týmto rozporom, nebude </w:t>
      </w:r>
      <w:r w:rsidR="00795A52">
        <w:t>poskytovateľ</w:t>
      </w:r>
      <w:r w:rsidRPr="001C44C7">
        <w:t xml:space="preserve"> oprávnený postupovať vo veci určenia ex-ante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77777777" w:rsidR="00C7417C" w:rsidRDefault="00C7417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7A55D2B9" w14:textId="6743EB82" w:rsidR="009D7F63" w:rsidRPr="0073389C" w:rsidRDefault="009D7F63" w:rsidP="009D7F63">
      <w:pPr>
        <w:spacing w:before="120" w:after="120" w:line="288" w:lineRule="auto"/>
        <w:jc w:val="both"/>
      </w:pPr>
      <w:r w:rsidRPr="0073389C">
        <w:t xml:space="preserve">Druhá ex-ante kontrola je vykonávaná v rámci </w:t>
      </w:r>
      <w:r w:rsidR="00E322E9">
        <w:t xml:space="preserve">nadlimitných </w:t>
      </w:r>
      <w:r w:rsidRPr="0073389C">
        <w:t>zákaziek, ktoré sú s ohľadom na PHZ</w:t>
      </w:r>
      <w:r w:rsidR="00E322E9">
        <w:t>, resp. zvolený postup</w:t>
      </w:r>
      <w:r w:rsidRPr="0073389C">
        <w:t xml:space="preserve"> nadlimitné.</w:t>
      </w:r>
    </w:p>
    <w:p w14:paraId="7A55D2BA" w14:textId="276E1477" w:rsidR="009D7F63" w:rsidRPr="0073389C" w:rsidRDefault="009D7F63" w:rsidP="009D7F63">
      <w:pPr>
        <w:spacing w:before="120" w:after="120" w:line="288" w:lineRule="auto"/>
        <w:jc w:val="both"/>
      </w:pPr>
      <w:r w:rsidRPr="0073389C">
        <w:t xml:space="preserve">Súčasne poskytovateľ vykonáva druhú ex-ante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14:paraId="45E8DAF2" w14:textId="29E05941" w:rsidR="004E56EC" w:rsidRPr="0073389C" w:rsidRDefault="004E56EC" w:rsidP="009D7F63">
      <w:pPr>
        <w:spacing w:before="120" w:after="120" w:line="288" w:lineRule="auto"/>
        <w:jc w:val="both"/>
        <w:rPr>
          <w:rFonts w:cs="Arial"/>
          <w:szCs w:val="19"/>
        </w:rPr>
      </w:pPr>
      <w:r w:rsidRPr="004E56EC">
        <w:rPr>
          <w:rFonts w:cs="Arial"/>
          <w:szCs w:val="19"/>
        </w:rPr>
        <w:t>Lehota na výkon druhej ex-ante kontroly je 20 pracovných dní od doručenia dokumentácie prijímateľom.</w:t>
      </w:r>
    </w:p>
    <w:p w14:paraId="7A55D2BB" w14:textId="6A812B3F"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14:paraId="7A55D2BC" w14:textId="28C4AFBD" w:rsidR="009D7F63" w:rsidRPr="0073389C" w:rsidRDefault="009D7F63" w:rsidP="009D7F63">
      <w:pPr>
        <w:spacing w:before="120" w:after="120" w:line="288" w:lineRule="auto"/>
        <w:jc w:val="both"/>
      </w:pPr>
      <w:r w:rsidRPr="0073389C">
        <w:t xml:space="preserve">Prijímateľ predkladá dokumentáciu na kontrolu </w:t>
      </w:r>
      <w:r w:rsidR="004E56EC">
        <w:rPr>
          <w:rFonts w:cs="Arial"/>
          <w:szCs w:val="19"/>
        </w:rPr>
        <w:t xml:space="preserve">VO </w:t>
      </w:r>
      <w:r w:rsidRPr="0073389C">
        <w:t xml:space="preserve">najneskôr do 10 pracovných dní po dni, v rámci ktorého by už bol oprávnený podpísať zmluvu </w:t>
      </w:r>
      <w:r w:rsidR="00C855B1">
        <w:t>s</w:t>
      </w:r>
      <w:r w:rsidRPr="0073389C">
        <w:t xml:space="preserve"> úspešným uchádzačom.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Pr="0073389C"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05DBDE69"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čestné vyhlásenia členov komisie;</w:t>
      </w:r>
    </w:p>
    <w:p w14:paraId="7A55D2C6"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rokovacieho konania bez zverejnenia, resp. priameho rokovacieho konania); </w:t>
      </w:r>
    </w:p>
    <w:p w14:paraId="7A55D2CD"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rokovacieho konania bez zverejnenia, resp.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0"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oznámenie prijímateľa o začatí rokovacieho konania bez zverejnenia, resp. priameho rokovacieho konania;</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77777777"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6C6C0FB2" w14:textId="77777777"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14:paraId="77E6439D" w14:textId="70238E53"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14:paraId="7A55D2D7" w14:textId="2A060901"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14:paraId="7A55D2D8" w14:textId="20C50D48" w:rsidR="009D7F63" w:rsidRPr="0073389C" w:rsidRDefault="009D7F63" w:rsidP="009D7F63">
      <w:pPr>
        <w:spacing w:before="120" w:after="120" w:line="288" w:lineRule="auto"/>
        <w:jc w:val="both"/>
      </w:pPr>
    </w:p>
    <w:p w14:paraId="472F87D2" w14:textId="5CC17A84"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prestáva plynúť lehota na výkon kontroly. Dňom nasledujúcim po dni doručenia vysvetlenia </w:t>
      </w:r>
      <w:r>
        <w:t>alebo doplnenia dokumentácie p</w:t>
      </w:r>
      <w:r w:rsidRPr="0073389C">
        <w:t>oskytovateľ</w:t>
      </w:r>
      <w:r>
        <w:t>ovi</w:t>
      </w:r>
      <w:r w:rsidRPr="00D1430A">
        <w:t xml:space="preserve"> </w:t>
      </w:r>
      <w:r w:rsidRPr="00D1430A">
        <w:lastRenderedPageBreak/>
        <w:t>začína plynúť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7C5B893" w14:textId="559C34BF"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4F382E7E" w14:textId="77777777" w:rsidR="004221C7" w:rsidRDefault="004221C7" w:rsidP="00BF23E3">
      <w:pPr>
        <w:spacing w:before="120" w:after="120" w:line="288" w:lineRule="auto"/>
        <w:jc w:val="both"/>
      </w:pPr>
    </w:p>
    <w:p w14:paraId="26B9C108" w14:textId="77777777" w:rsidR="004221C7" w:rsidRPr="004221C7" w:rsidRDefault="004221C7" w:rsidP="004221C7">
      <w:pPr>
        <w:spacing w:before="120" w:after="120" w:line="288" w:lineRule="auto"/>
        <w:jc w:val="both"/>
        <w:rPr>
          <w:b/>
        </w:rPr>
      </w:pPr>
      <w:r w:rsidRPr="004221C7">
        <w:rPr>
          <w:b/>
        </w:rPr>
        <w:t>Osobitné ustanovenia pre kontrolu podlimitných zákaziek:</w:t>
      </w:r>
    </w:p>
    <w:p w14:paraId="3F2F2241" w14:textId="77777777" w:rsidR="004221C7" w:rsidRPr="004221C7" w:rsidRDefault="004221C7" w:rsidP="004221C7">
      <w:pPr>
        <w:spacing w:before="120" w:after="120" w:line="288" w:lineRule="auto"/>
        <w:jc w:val="both"/>
      </w:pPr>
      <w:r w:rsidRPr="004221C7">
        <w:t>Ak poskytovateľ</w:t>
      </w:r>
      <w:r w:rsidRPr="004221C7" w:rsidDel="006526CF">
        <w:t xml:space="preserve"> </w:t>
      </w:r>
      <w:r w:rsidRPr="004221C7">
        <w:t>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V prípade zistenia porušenia princípov a postupov VO, resp. porušenia pravidiel a ustanovení legislatívy SR a EÚ, ktoré mali alebo mohli mať vplyv na výsledok VO, záverom kontroly VO je nesúhlas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14:paraId="783B7245" w14:textId="7DECE0F9" w:rsidR="004221C7" w:rsidRDefault="007B2419" w:rsidP="00BF23E3">
      <w:pPr>
        <w:spacing w:before="120" w:after="120" w:line="288" w:lineRule="auto"/>
        <w:jc w:val="both"/>
      </w:pPr>
      <w:r w:rsidRPr="007B2419">
        <w:t>V prípade ak poskytovateľ</w:t>
      </w:r>
      <w:r w:rsidRPr="007B2419" w:rsidDel="006526CF">
        <w:t xml:space="preserve"> </w:t>
      </w:r>
      <w:r w:rsidRPr="007B2419">
        <w:t>identifikuje nedodržanie princípov a postupov VO, resp. porušenia legislatívy a zo strany prijímateľa nedôjde k odstráneniu protiprávneho stavu, nepripustí kontrolované VO do financovania, pokiaľ nie je uvedené v tejto kapitole inak.</w:t>
      </w:r>
    </w:p>
    <w:p w14:paraId="69631C6F" w14:textId="77777777" w:rsidR="007B2419" w:rsidRDefault="007B2419" w:rsidP="007B2419">
      <w:pPr>
        <w:spacing w:before="120" w:after="120" w:line="288" w:lineRule="auto"/>
        <w:jc w:val="both"/>
      </w:pPr>
    </w:p>
    <w:p w14:paraId="215C7EC4" w14:textId="1A46C071" w:rsidR="007B2419" w:rsidRPr="007B2419" w:rsidRDefault="007B2419" w:rsidP="007B2419">
      <w:pPr>
        <w:spacing w:before="120" w:after="120" w:line="288" w:lineRule="auto"/>
        <w:jc w:val="both"/>
        <w:rPr>
          <w:b/>
        </w:rPr>
      </w:pPr>
      <w:r w:rsidRPr="007B2419">
        <w:rPr>
          <w:b/>
        </w:rPr>
        <w:t>Osobitné ustanovenia pre kontrolu nadlimitných zákaziek:</w:t>
      </w:r>
    </w:p>
    <w:p w14:paraId="7477E710" w14:textId="77777777" w:rsidR="007B2419" w:rsidRPr="007B2419" w:rsidRDefault="007B2419" w:rsidP="007B2419">
      <w:pPr>
        <w:spacing w:before="120" w:after="120" w:line="288" w:lineRule="auto"/>
        <w:jc w:val="both"/>
      </w:pPr>
      <w:r w:rsidRPr="007B2419">
        <w:t xml:space="preserve">ÚVO vykonáva kontrolu </w:t>
      </w:r>
      <w:r w:rsidRPr="007B2419">
        <w:rPr>
          <w:b/>
        </w:rPr>
        <w:t>nadlimitných zákaziek</w:t>
      </w:r>
      <w:r w:rsidRPr="007B2419">
        <w:t xml:space="preserve"> v rámci druhej ex-ante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14:paraId="36E8440E"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Podnet na výkon kontroly podľa § 169 ods. 2 ZVO podáva prijímateľ na základe vyzvania poskytovateľa.</w:t>
      </w:r>
    </w:p>
    <w:p w14:paraId="07878EA7" w14:textId="77777777" w:rsidR="007B2419" w:rsidRPr="007B2419" w:rsidRDefault="007B2419" w:rsidP="007B2419">
      <w:pPr>
        <w:spacing w:before="120" w:after="120" w:line="288" w:lineRule="auto"/>
        <w:jc w:val="both"/>
      </w:pPr>
      <w:r w:rsidRPr="007B2419">
        <w:t>Povinnou náležitosťou podnetu na výkon kontroly zasielaného prijímateľom na ÚVO je označenie príslušného SO, operačného programu, názvu a čísla projektu, ktorého sa VO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6784DAB" w14:textId="77777777" w:rsidR="007B2419" w:rsidRPr="007B2419" w:rsidRDefault="007B2419" w:rsidP="007B2419">
      <w:pPr>
        <w:spacing w:before="120" w:after="120" w:line="288" w:lineRule="auto"/>
        <w:jc w:val="both"/>
      </w:pPr>
      <w:r w:rsidRPr="007B2419">
        <w:t>Ak poskytovateľ zistí nedostatky, ktoré je možné postupmi v zmysle ZVO odstrániť (napr. opätovné vyhodnotenie podmienok účasti alebo ponúk), vyzve prijímateľa na zaslanie podnetu na ÚVO podľa § 169 ods. 1 písm. b) v spojení s § 169 ods. 2 ZVO.</w:t>
      </w:r>
    </w:p>
    <w:p w14:paraId="00489163" w14:textId="5D25E747" w:rsidR="007B2419" w:rsidRPr="007B2419" w:rsidRDefault="007B2419" w:rsidP="007B2419">
      <w:pPr>
        <w:spacing w:before="120" w:after="120" w:line="288" w:lineRule="auto"/>
        <w:jc w:val="both"/>
      </w:pPr>
      <w:r w:rsidRPr="007B2419">
        <w:t>Po doručení právoplatného rozhodnutia ÚVO v predmetnej veci, poskyto</w:t>
      </w:r>
      <w:r w:rsidR="007F4E20">
        <w:t>vateľ zašle prijímateľovi návrh</w:t>
      </w:r>
      <w:r w:rsidRPr="007B2419">
        <w:t xml:space="preserve"> správy. </w:t>
      </w:r>
    </w:p>
    <w:p w14:paraId="7AFE249B" w14:textId="77777777" w:rsidR="007B2419" w:rsidRPr="007B2419" w:rsidRDefault="007B2419" w:rsidP="007B2419">
      <w:pPr>
        <w:spacing w:before="120" w:after="120" w:line="288" w:lineRule="auto"/>
        <w:jc w:val="both"/>
      </w:pPr>
      <w:r w:rsidRPr="007B2419">
        <w:t xml:space="preserve">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w:t>
      </w:r>
      <w:r w:rsidRPr="007B2419">
        <w:lastRenderedPageBreak/>
        <w:t>stav, vypracuje poskytovateľ v lehote 15 pracovných dní od doručenia aktualizovanej dokumentácie správu z kontroly, ktorá obsahuje súhlas s podpísaním zmluvy s úspešným uchádzačom. V prípade, že prijímateľ neodstránil protiprávny stav, vypracuje poskytovateľ návrh správy z kontroly, ktorá obsahuje nesúhlas s podpísaním zmluvy s úspešným uchádzačom.</w:t>
      </w:r>
    </w:p>
    <w:p w14:paraId="02CF3D82" w14:textId="77777777" w:rsidR="007B2419" w:rsidRPr="007B2419" w:rsidRDefault="007B2419" w:rsidP="007B2419">
      <w:pPr>
        <w:spacing w:before="120" w:after="120" w:line="288" w:lineRule="auto"/>
        <w:jc w:val="both"/>
      </w:pPr>
      <w:r w:rsidRPr="007B2419">
        <w:t>Ak poskytovateľ zistí porušenie princípov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w:t>
      </w:r>
    </w:p>
    <w:p w14:paraId="63775501" w14:textId="77777777" w:rsidR="007B2419" w:rsidRPr="007B2419" w:rsidRDefault="007B2419" w:rsidP="007B2419">
      <w:pPr>
        <w:spacing w:before="120" w:after="120" w:line="288" w:lineRule="auto"/>
        <w:jc w:val="both"/>
      </w:pPr>
      <w:r w:rsidRPr="007B2419">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14:paraId="7404EAB8" w14:textId="77777777"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3" w:history="1">
        <w:r w:rsidRPr="007B2419">
          <w:rPr>
            <w:rStyle w:val="Hypertextovprepojenie"/>
          </w:rPr>
          <w:t>vo.sep@minv.sk</w:t>
        </w:r>
      </w:hyperlink>
      <w:r w:rsidRPr="007B2419">
        <w:t>).</w:t>
      </w:r>
    </w:p>
    <w:p w14:paraId="7BAD8023" w14:textId="77777777" w:rsidR="007B2419" w:rsidRPr="007B2419" w:rsidRDefault="007B2419" w:rsidP="007B2419">
      <w:pPr>
        <w:spacing w:before="120" w:after="120" w:line="288" w:lineRule="auto"/>
        <w:jc w:val="both"/>
      </w:pPr>
      <w:r w:rsidRPr="007B2419">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14:paraId="4DD9409E" w14:textId="4A19C31D" w:rsidR="004221C7" w:rsidRDefault="007B2419" w:rsidP="007B2419">
      <w:pPr>
        <w:spacing w:before="120" w:after="120" w:line="288" w:lineRule="auto"/>
        <w:jc w:val="both"/>
      </w:pPr>
      <w:r w:rsidRPr="00E8012F">
        <w:rPr>
          <w:b/>
          <w:i/>
          <w:color w:val="FF0000"/>
        </w:rPr>
        <w:t>Povinnosť prijímateľa:</w:t>
      </w:r>
      <w:r w:rsidRPr="007B2419">
        <w:t xml:space="preserve">  prijímateľ 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4" w:history="1">
        <w:r w:rsidRPr="007B2419">
          <w:rPr>
            <w:rStyle w:val="Hypertextovprepojenie"/>
          </w:rPr>
          <w:t>vo.sep@minv.sk</w:t>
        </w:r>
      </w:hyperlink>
      <w:r w:rsidRPr="007B2419">
        <w:t>).</w:t>
      </w:r>
    </w:p>
    <w:p w14:paraId="226D442F" w14:textId="5E35C9EB" w:rsidR="00D1430A" w:rsidRDefault="00D1430A" w:rsidP="00BF23E3">
      <w:pPr>
        <w:spacing w:before="120" w:after="120" w:line="288" w:lineRule="auto"/>
        <w:jc w:val="both"/>
      </w:pPr>
    </w:p>
    <w:p w14:paraId="40B8DECE" w14:textId="77777777" w:rsidR="009F4290" w:rsidRPr="0073389C" w:rsidRDefault="009F4290" w:rsidP="009D7F63">
      <w:pPr>
        <w:spacing w:before="120" w:after="120" w:line="288" w:lineRule="auto"/>
        <w:jc w:val="both"/>
      </w:pPr>
    </w:p>
    <w:p w14:paraId="6DAEBF5F" w14:textId="77777777" w:rsidR="00A553F1" w:rsidRPr="0073389C" w:rsidRDefault="00A553F1" w:rsidP="009D7F63">
      <w:pPr>
        <w:spacing w:before="120" w:after="120" w:line="288" w:lineRule="auto"/>
        <w:jc w:val="both"/>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1ECD927B"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56D73152" w14:textId="77777777"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Pr="003E07AA">
        <w:rPr>
          <w:rFonts w:ascii="Arial" w:hAnsi="Arial" w:cs="Arial"/>
          <w:color w:val="auto"/>
          <w:sz w:val="19"/>
          <w:szCs w:val="19"/>
          <w:lang w:val="sk-SK"/>
        </w:rPr>
        <w:lastRenderedPageBreak/>
        <w:t>a pred nadobudnutím účinnosti zmluvy s dodávateľom (pokiaľ ide o povinnú osobu podľa zákona o  slobode informácií), čo sa považuje za stupeň štandardnej ex-post kontroly.</w:t>
      </w:r>
    </w:p>
    <w:p w14:paraId="4237CA36" w14:textId="77777777"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 xml:space="preserve">sa nevzťahuje na VO, ktoré bolo predmetom druhej ex-ante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14:paraId="6E51E630" w14:textId="424CDF61"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94"/>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oznámenia výsledku VO/ informácií zaslaných ÚVO a Ú.v. EÚ;</w:t>
      </w:r>
    </w:p>
    <w:p w14:paraId="7A55D2E3"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„print screen“);</w:t>
      </w:r>
    </w:p>
    <w:p w14:paraId="0B24E19F" w14:textId="49135E92"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14:paraId="17560AF1" w14:textId="48175EEA"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14:paraId="7A55D2E4" w14:textId="3DDA69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E70656">
        <w:rPr>
          <w:rFonts w:cs="Arial"/>
          <w:szCs w:val="19"/>
          <w:lang w:val="sk-SK"/>
        </w:rPr>
        <w:t>,</w:t>
      </w:r>
    </w:p>
    <w:p w14:paraId="7A55D2E5" w14:textId="4F7948DB" w:rsidR="009D7F63"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avšak najneskôr do 10 pracovných dní po zverejnení zmluvy s úspešným uchádzačom podľa § 5a zákona o slobode informácií, </w:t>
      </w:r>
      <w:r w:rsidR="003E07AA" w:rsidRPr="003E07AA">
        <w:rPr>
          <w:rFonts w:ascii="Arial" w:hAnsi="Arial" w:cs="Arial"/>
          <w:sz w:val="19"/>
          <w:szCs w:val="19"/>
          <w:lang w:val="sk-SK"/>
        </w:rPr>
        <w:t>alebo</w:t>
      </w:r>
      <w:r w:rsidR="003E07AA" w:rsidRPr="003E07AA" w:rsidDel="003E07AA">
        <w:rPr>
          <w:rFonts w:ascii="Arial" w:hAnsi="Arial" w:cs="Arial"/>
          <w:sz w:val="19"/>
          <w:szCs w:val="19"/>
          <w:lang w:val="sk-SK"/>
        </w:rPr>
        <w:t xml:space="preserve"> </w:t>
      </w:r>
      <w:r w:rsidRPr="0073389C">
        <w:rPr>
          <w:rFonts w:ascii="Arial" w:hAnsi="Arial" w:cs="Arial"/>
          <w:sz w:val="19"/>
          <w:szCs w:val="19"/>
          <w:lang w:val="sk-SK"/>
        </w:rPr>
        <w:t>do 10 pracovných dní od zaslania oznámenia o výsledku VO do vestníka ÚVO</w:t>
      </w:r>
      <w:r w:rsidR="003E07AA">
        <w:rPr>
          <w:rFonts w:ascii="Arial" w:hAnsi="Arial" w:cs="Arial"/>
          <w:sz w:val="19"/>
          <w:szCs w:val="19"/>
          <w:lang w:val="sk-SK"/>
        </w:rPr>
        <w:t xml:space="preserve">, </w:t>
      </w:r>
      <w:r w:rsidR="003E07AA" w:rsidRPr="003E07AA">
        <w:rPr>
          <w:rFonts w:ascii="Arial" w:hAnsi="Arial" w:cs="Arial"/>
          <w:sz w:val="19"/>
          <w:szCs w:val="19"/>
          <w:lang w:val="sk-SK"/>
        </w:rPr>
        <w:t>resp. do 10 pracovných dní po uzavretí zmluvy o NFP</w:t>
      </w:r>
      <w:r w:rsidRPr="0073389C">
        <w:rPr>
          <w:rFonts w:ascii="Arial" w:hAnsi="Arial" w:cs="Arial"/>
          <w:sz w:val="19"/>
          <w:szCs w:val="19"/>
          <w:lang w:val="sk-SK"/>
        </w:rPr>
        <w:t xml:space="preserve"> podľa toho, ktorý z týchto úkonov je neskorší. Ak prijímateľ nie je podľa zákona o slobode informácií povinnou osobou, je povinný predložiť dokumentáciu na kontrolu</w:t>
      </w:r>
      <w:r w:rsidR="00E70656">
        <w:rPr>
          <w:rFonts w:ascii="Arial" w:hAnsi="Arial" w:cs="Arial"/>
          <w:sz w:val="19"/>
          <w:szCs w:val="19"/>
          <w:lang w:val="sk-SK"/>
        </w:rPr>
        <w:t xml:space="preserve"> VO</w:t>
      </w:r>
      <w:r w:rsidRPr="0073389C">
        <w:rPr>
          <w:rFonts w:ascii="Arial" w:hAnsi="Arial" w:cs="Arial"/>
          <w:sz w:val="19"/>
          <w:szCs w:val="19"/>
          <w:lang w:val="sk-SK"/>
        </w:rPr>
        <w:t xml:space="preserve"> najneskôr do 10 pracovných dní od zaslania oznámenia o výsledku VO do vestníka ÚVO. </w:t>
      </w:r>
      <w:r w:rsidR="00F73625" w:rsidRPr="00F73625">
        <w:rPr>
          <w:rFonts w:ascii="Arial" w:hAnsi="Arial" w:cs="Arial"/>
          <w:sz w:val="19"/>
          <w:szCs w:val="19"/>
          <w:lang w:val="sk-SK"/>
        </w:rPr>
        <w:t xml:space="preserve">Pri </w:t>
      </w:r>
      <w:r w:rsidR="00A553F1">
        <w:rPr>
          <w:rFonts w:ascii="Arial" w:hAnsi="Arial" w:cs="Arial"/>
          <w:sz w:val="19"/>
          <w:szCs w:val="19"/>
          <w:lang w:val="sk-SK"/>
        </w:rPr>
        <w:t xml:space="preserve">podlimitnej </w:t>
      </w:r>
      <w:r w:rsidR="00F73625" w:rsidRPr="00F73625">
        <w:rPr>
          <w:rFonts w:ascii="Arial" w:hAnsi="Arial" w:cs="Arial"/>
          <w:sz w:val="19"/>
          <w:szCs w:val="19"/>
          <w:lang w:val="sk-SK"/>
        </w:rPr>
        <w:t>zákazke realizovanej prostredníctvom elektronického trhoviska je prijímateľ povinný predložiť RO pre OP EVS dokumentáciu k predmetnému VO na kontrolu najneskôr do 10 pracovných dní po vygenerovaní výslednej zmluvy príslušným elektronickým informačným systémom a po jej zverejnení v CRZ.</w:t>
      </w: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103236A8"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95"/>
      </w:r>
      <w:r w:rsidR="00BA496C" w:rsidRPr="00BA496C">
        <w:t>, pokiaľ Prijímateľ je povinnou osobou v zmysle zákona o slobodnom prístupe k informáciám.</w:t>
      </w:r>
    </w:p>
    <w:p w14:paraId="4A065DB8" w14:textId="6C81EA30"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prestáva plynúť lehota na výkon kontroly VO. Dňom nasledujúcim po dni doručenia vysvetlenia alebo doplnenia dokumentácie poskytovateľovi </w:t>
      </w:r>
      <w:r w:rsidRPr="00E70656">
        <w:rPr>
          <w:rFonts w:cs="Arial"/>
          <w:szCs w:val="19"/>
        </w:rPr>
        <w:lastRenderedPageBreak/>
        <w:t>začína plynúť n</w:t>
      </w:r>
      <w:r>
        <w:rPr>
          <w:rFonts w:cs="Arial"/>
          <w:szCs w:val="19"/>
        </w:rPr>
        <w:t>ová lehota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A" w14:textId="258AB36B"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14:paraId="7A55D2EB" w14:textId="7385CAAA" w:rsidR="009D7F63" w:rsidRPr="0073389C" w:rsidRDefault="009D7F63" w:rsidP="009D7F63">
      <w:pPr>
        <w:spacing w:before="120" w:after="120" w:line="288" w:lineRule="auto"/>
        <w:jc w:val="both"/>
      </w:pPr>
      <w:r w:rsidRPr="0073389C">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509FD75C"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2B11BEDC"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96"/>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3FFEFD81" w:rsidR="009D7F63" w:rsidRDefault="009D7F63" w:rsidP="009D7F63">
      <w:pPr>
        <w:spacing w:before="120" w:after="120" w:line="288" w:lineRule="auto"/>
        <w:jc w:val="both"/>
      </w:pPr>
      <w:r w:rsidRPr="0073389C">
        <w:lastRenderedPageBreak/>
        <w:t>Rozhodnutie poskytovateľa, či bude postupovať podľa prvej alebo druhej odrážky predchádzajúceho odseku závisí od rozsahu, závažnosti a momentu zistenia 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77777777" w:rsidR="00B8656C" w:rsidRPr="00B8656C" w:rsidRDefault="009D7F63" w:rsidP="00B8656C">
      <w:pPr>
        <w:spacing w:before="120" w:after="120" w:line="288" w:lineRule="auto"/>
        <w:jc w:val="both"/>
        <w:rPr>
          <w:rFonts w:cs="Arial"/>
          <w:szCs w:val="19"/>
          <w:lang w:eastAsia="x-none"/>
        </w:rPr>
      </w:pPr>
      <w:r w:rsidRPr="0073389C">
        <w:rPr>
          <w:b/>
          <w:i/>
          <w:color w:val="FF0000"/>
        </w:rPr>
        <w:t>Povinnosť prijímateľa:</w:t>
      </w:r>
      <w:r w:rsidRPr="0073389C">
        <w:rPr>
          <w:color w:val="FF0000"/>
        </w:rPr>
        <w:t xml:space="preserve"> </w:t>
      </w:r>
      <w:r w:rsidRPr="0073389C">
        <w:t>Prijímateľ predkladá poskytovateľovi podpísanú zmluvu s úspešným uchádzačom do 10 pracovných dní po zverejnení zmluvy s úspešným uchádzačom</w:t>
      </w:r>
      <w:r w:rsidRPr="0073389C">
        <w:rPr>
          <w:rStyle w:val="Odkaznapoznmkupodiarou"/>
          <w:sz w:val="19"/>
        </w:rPr>
        <w:footnoteReference w:id="97"/>
      </w:r>
      <w:r w:rsidRPr="0073389C">
        <w:t xml:space="preserve">, resp. </w:t>
      </w:r>
      <w:r w:rsidRPr="0073389C">
        <w:rPr>
          <w:rFonts w:cs="Arial"/>
          <w:szCs w:val="19"/>
        </w:rPr>
        <w:t xml:space="preserve">do 10 </w:t>
      </w:r>
      <w:r w:rsidR="00B8656C">
        <w:rPr>
          <w:rFonts w:cs="Arial"/>
          <w:szCs w:val="19"/>
        </w:rPr>
        <w:t>pracovných</w:t>
      </w:r>
      <w:r w:rsidR="00B8656C" w:rsidRPr="0073389C">
        <w:t xml:space="preserve"> </w:t>
      </w:r>
      <w:r w:rsidRPr="0073389C">
        <w:t>dní od zaslania oznámenia o výsledku VO do vestníka ÚVO podľa toho, ktorý z týchto úkonov je neskorší</w:t>
      </w:r>
      <w:r w:rsidRPr="0073389C">
        <w:rPr>
          <w:lang w:eastAsia="x-none"/>
        </w:rPr>
        <w:t xml:space="preserve">. </w:t>
      </w:r>
      <w:r w:rsidR="00B8656C" w:rsidRPr="00B8656C">
        <w:rPr>
          <w:rFonts w:cs="Arial"/>
          <w:szCs w:val="19"/>
          <w:lang w:eastAsia="x-none"/>
        </w:rPr>
        <w:t>Ak prijímateľ nie je podľa zákona o slobode informácií povinnou osobou, je povinný predložiť dokumentáciu na kontrolu VO minimálne 10 pracovných dní od zaslania oznámenia o výsledku VO do vestníka ÚVO.</w:t>
      </w:r>
    </w:p>
    <w:p w14:paraId="0EAAC2B6" w14:textId="77777777"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14:paraId="7A55D2F7" w14:textId="7A8456C3"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Túto zmluvu predkladá prijímateľ 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98"/>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9A78AB">
      <w:pPr>
        <w:pStyle w:val="Default"/>
        <w:numPr>
          <w:ilvl w:val="0"/>
          <w:numId w:val="42"/>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19C4A51A"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Dňom odoslania žiadosti/výzvy prestáva plynúť lehota na výkon kontroly</w:t>
      </w:r>
      <w:r>
        <w:rPr>
          <w:rFonts w:cs="Arial"/>
          <w:szCs w:val="19"/>
        </w:rPr>
        <w:t xml:space="preserve"> VO</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4D6E9941" w:rsidR="009D7F63" w:rsidRPr="0073389C" w:rsidRDefault="009D7F63" w:rsidP="009D7F63">
      <w:pPr>
        <w:spacing w:before="120" w:after="120" w:line="288" w:lineRule="auto"/>
        <w:jc w:val="both"/>
        <w:rPr>
          <w:lang w:eastAsia="x-none"/>
        </w:rPr>
      </w:pPr>
      <w:r w:rsidRPr="0073389C">
        <w:rPr>
          <w:lang w:eastAsia="x-none"/>
        </w:rPr>
        <w:lastRenderedPageBreak/>
        <w:t xml:space="preserve">Dňom nasledujúcim po dni doručenia vysvetlenia alebo doplnenia dokumentácie poskytovateľovi začína plynúť nová lehota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5E749DCA" w:rsidR="009D7F63" w:rsidRPr="0073389C" w:rsidRDefault="009D7F63" w:rsidP="009D7F63">
      <w:pPr>
        <w:spacing w:before="120" w:after="120" w:line="288" w:lineRule="auto"/>
        <w:jc w:val="both"/>
        <w:rPr>
          <w:lang w:eastAsia="x-none"/>
        </w:rPr>
      </w:pPr>
      <w:r w:rsidRPr="0073389C">
        <w:rPr>
          <w:lang w:eastAsia="x-none"/>
        </w:rPr>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7D87FEA2"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post kontrole poskytovateľ zistí porušenie princípov 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392CA31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77777777" w:rsidR="009D7F63" w:rsidRPr="0073389C" w:rsidRDefault="009D7F63" w:rsidP="009D7F63">
      <w:pPr>
        <w:spacing w:before="120" w:after="120" w:line="288" w:lineRule="auto"/>
        <w:jc w:val="both"/>
        <w:rPr>
          <w:lang w:eastAsia="x-none"/>
        </w:rPr>
      </w:pPr>
      <w:r w:rsidRPr="0073389C">
        <w:rPr>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rozsahu, závažnosti a momentu zistenia nedostatkov. </w:t>
      </w:r>
    </w:p>
    <w:p w14:paraId="7A55D305" w14:textId="007A7B83" w:rsidR="009D7F63" w:rsidRDefault="009D7F63" w:rsidP="009D7F63">
      <w:pPr>
        <w:spacing w:before="120" w:after="120" w:line="288" w:lineRule="auto"/>
        <w:jc w:val="both"/>
        <w:rPr>
          <w:lang w:eastAsia="x-none"/>
        </w:rPr>
      </w:pPr>
      <w:r w:rsidRPr="0073389C">
        <w:rPr>
          <w:lang w:eastAsia="x-none"/>
        </w:rPr>
        <w:t xml:space="preserve">Pokiaľ nastala niektorá zo skutočností, ktorá neumožňuje poskytovateľovi určiť ex-ante </w:t>
      </w:r>
      <w:r w:rsidR="006B7CFE" w:rsidRPr="006B7CFE">
        <w:rPr>
          <w:lang w:eastAsia="x-none"/>
        </w:rPr>
        <w:t>finančnú opravu</w:t>
      </w:r>
      <w:r w:rsidR="006B7CFE" w:rsidRPr="006B7CFE" w:rsidDel="006B7CFE">
        <w:rPr>
          <w:lang w:eastAsia="x-none"/>
        </w:rPr>
        <w:t xml:space="preserve"> </w:t>
      </w:r>
      <w:r w:rsidRPr="0073389C">
        <w:rPr>
          <w:lang w:eastAsia="x-none"/>
        </w:rPr>
        <w:t xml:space="preserve">(napr. prijímateľ podpísal zmluvu s úspešným uchádzačom bez riadneho ukončenia druhej ex-ante kontroly),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w:t>
      </w:r>
      <w:r w:rsidRPr="00A553F1">
        <w:rPr>
          <w:lang w:eastAsia="x-none"/>
        </w:rPr>
        <w:lastRenderedPageBreak/>
        <w:t>(kópia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spolufinancovaného z EŠIF za účelom kontroly. Uvedená povinnosť sa vzťahuje aj na prípady, keď sa dodatok vzťahuje na časť výdavkov, ktoré nie sú oprávnenými výdavkami, avšak sú súčasťou zákazky, ktorá je spolufinancovaná z fondov EŠIF. </w:t>
      </w:r>
    </w:p>
    <w:p w14:paraId="7A55D308"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14:paraId="212E7F6E" w14:textId="5625D056"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99"/>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7A55D30C" w14:textId="5E7B6EA1"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14:paraId="4F23555A" w14:textId="77777777" w:rsidR="004A1434" w:rsidRPr="004A1434" w:rsidRDefault="004A1434" w:rsidP="004A1434">
      <w:pPr>
        <w:spacing w:before="120" w:after="120" w:line="288" w:lineRule="auto"/>
        <w:jc w:val="both"/>
        <w:rPr>
          <w:rFonts w:cs="Arial"/>
          <w:szCs w:val="19"/>
        </w:rPr>
      </w:pPr>
      <w:r w:rsidRPr="004A1434">
        <w:rPr>
          <w:rFonts w:cs="Arial"/>
          <w:szCs w:val="19"/>
        </w:rPr>
        <w:t>Poskytovateľ požiada prijímateľa o vysvetlenie v prípade potreby odôvodnenia zvoleného postupu, resp. vysvetlenia/doplnenia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689F5F4A"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princípov 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w:t>
      </w:r>
      <w:r w:rsidRPr="004A1434">
        <w:rPr>
          <w:rFonts w:cs="Arial"/>
          <w:szCs w:val="19"/>
        </w:rPr>
        <w:lastRenderedPageBreak/>
        <w:t xml:space="preserve">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4517876E"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7697CDBF" w:rsidR="009D7F63" w:rsidRPr="0073389C" w:rsidRDefault="009D7F63" w:rsidP="009D7F63">
      <w:pPr>
        <w:spacing w:before="120" w:after="120" w:line="288" w:lineRule="auto"/>
        <w:rPr>
          <w:b/>
        </w:rPr>
      </w:pPr>
      <w:r w:rsidRPr="0073389C">
        <w:rPr>
          <w:b/>
        </w:rPr>
        <w:t>f) Kontrola dodatkov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0"/>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77777777"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14:paraId="7A55D31A" w14:textId="4C08814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14:paraId="7A55D31C" w14:textId="0F0A43A1" w:rsidR="009D7F63" w:rsidRPr="0073389C" w:rsidRDefault="009D7F63" w:rsidP="009D7F63">
      <w:pPr>
        <w:spacing w:before="120" w:after="120" w:line="288" w:lineRule="auto"/>
        <w:jc w:val="both"/>
      </w:pPr>
      <w:r w:rsidRPr="0073389C">
        <w:lastRenderedPageBreak/>
        <w:t xml:space="preserve">Pri kontrole dodatku, ktorý nebol predmetom kontroly </w:t>
      </w:r>
      <w:r w:rsidR="00963E0D">
        <w:rPr>
          <w:rFonts w:cs="Arial"/>
          <w:szCs w:val="19"/>
        </w:rPr>
        <w:t xml:space="preserve">VO </w:t>
      </w:r>
      <w:r w:rsidRPr="0073389C">
        <w:t>pred jeho podpisom   postupuje poskytovateľ primerane podľa pravidiel uvedených v kapitole „Štandardná ex-post VO“. Pokiaľ poskytovateľ pri kontrole tohto dodatku nezistí porušenie princípov a postupov VO, resp. porušenie pravidiel a ustanovení legislatívy SR a EÚ, predmetný dodatok schváli.</w:t>
      </w:r>
    </w:p>
    <w:p w14:paraId="3C540536" w14:textId="77777777" w:rsidR="00963E0D" w:rsidRPr="00963E0D" w:rsidRDefault="00963E0D" w:rsidP="00963E0D">
      <w:pPr>
        <w:spacing w:before="120" w:after="120" w:line="288" w:lineRule="auto"/>
        <w:jc w:val="both"/>
        <w:rPr>
          <w:rFonts w:cs="Arial"/>
          <w:szCs w:val="19"/>
        </w:rPr>
      </w:pPr>
      <w:r w:rsidRPr="00963E0D">
        <w:rPr>
          <w:rFonts w:cs="Arial"/>
          <w:szCs w:val="19"/>
        </w:rPr>
        <w:t>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princípov 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77777777" w:rsidR="00963E0D" w:rsidRPr="00963E0D" w:rsidRDefault="00963E0D" w:rsidP="00963E0D">
      <w:pPr>
        <w:spacing w:before="120" w:after="120" w:line="288" w:lineRule="auto"/>
        <w:jc w:val="both"/>
        <w:rPr>
          <w:rFonts w:cs="Arial"/>
          <w:szCs w:val="19"/>
        </w:rPr>
      </w:pPr>
      <w:r w:rsidRPr="00963E0D">
        <w:rPr>
          <w:rFonts w:cs="Arial"/>
          <w:szCs w:val="19"/>
        </w:rPr>
        <w:t>Ak poskytovateľ pri kontrole dodatku zistí porušenie princípov 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9A78AB">
      <w:pPr>
        <w:pStyle w:val="Odsekzoznamu"/>
        <w:numPr>
          <w:ilvl w:val="0"/>
          <w:numId w:val="88"/>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19502591" w:rsidR="00963E0D" w:rsidRPr="00963E0D" w:rsidRDefault="00963E0D" w:rsidP="009A78AB">
      <w:pPr>
        <w:pStyle w:val="Odsekzoznamu"/>
        <w:numPr>
          <w:ilvl w:val="0"/>
          <w:numId w:val="88"/>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32BDF34F"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ŽoP, vychádzajúce z realizácie výsledku daného VO, budú zo strany poskytovateľa, označené ako neoprávnené. Rozhodnutie poskytovateľa, či bude postupovať podľa prvej alebo druhej odrážky predchádzajúceho odseku závisí od rozsahu, závažnosti a momentu zistenia nedostatkov.</w:t>
      </w:r>
    </w:p>
    <w:p w14:paraId="7A55D31D" w14:textId="5002450A" w:rsidR="009D7F63" w:rsidRPr="0073389C" w:rsidRDefault="009D7F63" w:rsidP="009D7F63">
      <w:pPr>
        <w:spacing w:before="120" w:after="120" w:line="288" w:lineRule="auto"/>
        <w:jc w:val="both"/>
      </w:pPr>
      <w:r w:rsidRPr="0073389C">
        <w:t xml:space="preserve">Pokiaľ poskytovateľ pri kontrole takéhoto dodatku zistí porušenie princípov a postupov VO, resp. porušenie pravidiel a ustanovení legislatívy SR a EÚ, predmetný výdavok neschváli, čo znamená, že súvisiace výdavky vyplývajúce zo tohto </w:t>
      </w:r>
      <w:r w:rsidR="00963E0D">
        <w:rPr>
          <w:rFonts w:cs="Arial"/>
          <w:szCs w:val="19"/>
        </w:rPr>
        <w:t>dodatku</w:t>
      </w:r>
      <w:r w:rsidR="00963E0D" w:rsidRPr="0073389C">
        <w:rPr>
          <w:rFonts w:cs="Arial"/>
          <w:szCs w:val="19"/>
        </w:rPr>
        <w:t xml:space="preserve"> </w:t>
      </w:r>
      <w:r w:rsidRPr="0073389C">
        <w:t xml:space="preserve">nebudú pripustené do financovania v plnom rozsahu. </w:t>
      </w:r>
    </w:p>
    <w:p w14:paraId="7A55D31E" w14:textId="244125FA"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14:paraId="7A55D31F" w14:textId="77777777" w:rsidR="009D7F63" w:rsidRPr="0073389C" w:rsidRDefault="009D7F63" w:rsidP="009D7F63">
      <w:pPr>
        <w:spacing w:before="120" w:after="120" w:line="288" w:lineRule="auto"/>
        <w:jc w:val="both"/>
      </w:pPr>
    </w:p>
    <w:p w14:paraId="3D65D487" w14:textId="77777777" w:rsidR="00963E0D" w:rsidRDefault="00963E0D" w:rsidP="00963E0D">
      <w:pPr>
        <w:spacing w:before="120" w:after="120" w:line="288" w:lineRule="auto"/>
        <w:jc w:val="both"/>
        <w:rPr>
          <w:rFonts w:cs="Arial"/>
          <w:szCs w:val="19"/>
        </w:rPr>
      </w:pPr>
    </w:p>
    <w:p w14:paraId="7FE57AEA" w14:textId="5BD960DD" w:rsidR="00963E0D" w:rsidRPr="00963E0D" w:rsidRDefault="00963E0D" w:rsidP="00963E0D">
      <w:pPr>
        <w:spacing w:before="120" w:after="120" w:line="288" w:lineRule="auto"/>
        <w:jc w:val="both"/>
        <w:rPr>
          <w:rFonts w:cs="Arial"/>
          <w:b/>
          <w:szCs w:val="19"/>
        </w:rPr>
      </w:pPr>
      <w:r w:rsidRPr="00963E0D">
        <w:rPr>
          <w:rFonts w:cs="Arial"/>
          <w:b/>
          <w:szCs w:val="19"/>
        </w:rPr>
        <w:lastRenderedPageBreak/>
        <w:t>g)  Kontrola verejného obstarávania, v rámci ktorého viacerí prijímatelia nadobúdajú tovary, práce 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7436C898"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ante posúdenia podľa § 168 ZVO.  </w:t>
      </w:r>
    </w:p>
    <w:p w14:paraId="001A4A8F"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Prijímateľ je povinný poskytovateľovi predložiť na druhú ex-ante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14:paraId="0BAB071A"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Podkladom pre ukončenie druhej ex-ante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14:paraId="3B3C17EF" w14:textId="3C65A9A6"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ex-ante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14:paraId="0B6F097B" w14:textId="77777777" w:rsidR="00EF596F" w:rsidRPr="00EF596F" w:rsidRDefault="00EF596F" w:rsidP="00EF596F">
      <w:pPr>
        <w:spacing w:before="120" w:after="120" w:line="288" w:lineRule="auto"/>
        <w:jc w:val="both"/>
        <w:rPr>
          <w:rFonts w:cs="Arial"/>
          <w:szCs w:val="19"/>
        </w:rPr>
      </w:pPr>
      <w:r w:rsidRPr="00EF596F">
        <w:rPr>
          <w:rFonts w:cs="Arial"/>
          <w:szCs w:val="19"/>
        </w:rPr>
        <w:t xml:space="preserve">Následnej ex-post kontrole podliehajú centrálne VO, v rámci ktorých bola riadne ukončená druhá ex-ante kontrola poskytovateľa, ktorý je rovnakou právnickou osobou ako COO. </w:t>
      </w:r>
    </w:p>
    <w:p w14:paraId="3DCB59D3" w14:textId="17F53C0B"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14:paraId="047E16A1" w14:textId="518495F2"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14:paraId="7F88A10A" w14:textId="51182837"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14:paraId="663A6C67" w14:textId="1DADC393"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14:paraId="3E7E72FD" w14:textId="77777777" w:rsidR="00963E0D" w:rsidRPr="00963E0D" w:rsidRDefault="00963E0D" w:rsidP="00963E0D">
      <w:pPr>
        <w:spacing w:before="120" w:after="120" w:line="288" w:lineRule="auto"/>
        <w:jc w:val="both"/>
        <w:rPr>
          <w:rFonts w:cs="Arial"/>
          <w:szCs w:val="19"/>
        </w:rPr>
      </w:pPr>
    </w:p>
    <w:p w14:paraId="140E29DB" w14:textId="77777777" w:rsidR="00963E0D" w:rsidRPr="00963E0D" w:rsidRDefault="00963E0D" w:rsidP="00963E0D">
      <w:pPr>
        <w:spacing w:before="120" w:after="120" w:line="288" w:lineRule="auto"/>
        <w:jc w:val="both"/>
        <w:rPr>
          <w:rFonts w:cs="Arial"/>
          <w:b/>
          <w:szCs w:val="19"/>
        </w:rPr>
      </w:pPr>
      <w:r w:rsidRPr="00963E0D">
        <w:rPr>
          <w:rFonts w:cs="Arial"/>
          <w:b/>
          <w:szCs w:val="19"/>
        </w:rPr>
        <w:t xml:space="preserve">h) Kontrola VO v rámci schvaľovacieho procesu ŽoNFP </w:t>
      </w:r>
      <w:r w:rsidRPr="00963E0D">
        <w:rPr>
          <w:rFonts w:cs="Arial"/>
          <w:szCs w:val="19"/>
        </w:rPr>
        <w:t xml:space="preserve"> </w:t>
      </w:r>
      <w:r w:rsidRPr="00963E0D">
        <w:rPr>
          <w:rFonts w:cs="Arial"/>
          <w:b/>
          <w:szCs w:val="19"/>
        </w:rPr>
        <w:t>alebo hodnotenia národného projektu</w:t>
      </w:r>
    </w:p>
    <w:p w14:paraId="7E687725" w14:textId="77777777" w:rsidR="00963E0D" w:rsidRPr="00963E0D" w:rsidRDefault="00963E0D" w:rsidP="00963E0D">
      <w:pPr>
        <w:spacing w:before="120" w:after="120" w:line="288" w:lineRule="auto"/>
        <w:jc w:val="both"/>
        <w:rPr>
          <w:rFonts w:cs="Arial"/>
          <w:szCs w:val="19"/>
        </w:rPr>
      </w:pPr>
      <w:r w:rsidRPr="00963E0D">
        <w:rPr>
          <w:rFonts w:cs="Arial"/>
          <w:szCs w:val="19"/>
        </w:rPr>
        <w:t xml:space="preserve">Poskytovateľ vykonáva kontrolu VO v rámci schvaľovacieho procesu ŽoNFP alebo hodnotenia NP v prípade, ak poskytovateľ uvedie v rámci výzvy alebo záväzných podmienok ako podmienku poskytnutia príspevku vykonanie VO v súlade s postupmi a princípmi VO a následné overenie tohto VO zo strany poskytovateľa s kladným výsledkom. </w:t>
      </w:r>
    </w:p>
    <w:p w14:paraId="08AFB650" w14:textId="282C9F7F"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Pr="00963E0D">
        <w:rPr>
          <w:rFonts w:cs="Arial"/>
          <w:szCs w:val="19"/>
        </w:rPr>
        <w:t>kontroly VO.</w:t>
      </w:r>
    </w:p>
    <w:p w14:paraId="57F1D5E1" w14:textId="77777777"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Predmetom v rámci overenia podmienky poskytnutia príspevku týkajúcej sa VO musí byť aj kontrola vecného súladu predmetu obstarávania, návrhu zmluvných podmienok a iných údajov s predloženým projektom. </w:t>
      </w:r>
    </w:p>
    <w:p w14:paraId="6A162282" w14:textId="4D84E8E8" w:rsidR="00963E0D" w:rsidRPr="00963E0D" w:rsidRDefault="00963E0D" w:rsidP="00963E0D">
      <w:pPr>
        <w:spacing w:before="120" w:after="120" w:line="288" w:lineRule="auto"/>
        <w:jc w:val="both"/>
        <w:rPr>
          <w:rFonts w:cs="Arial"/>
          <w:szCs w:val="19"/>
        </w:rPr>
      </w:pPr>
      <w:r w:rsidRPr="00963E0D">
        <w:rPr>
          <w:rFonts w:cs="Arial"/>
          <w:szCs w:val="19"/>
        </w:rPr>
        <w:t>Závery kontroly prenesie poskytovateľ do výsledku posúdenia ŽoNFP. Výstupom kontroly VO nie je v tomto prípade správa z kontroly, ale rozhodnutie o schválení alebo neschválení ŽoNFP. Poskytovateľ nie je povinný opätovne vykonávať kontrolu VO po podpise zmluvy o NFP.</w:t>
      </w:r>
    </w:p>
    <w:p w14:paraId="6E36C83D" w14:textId="232EB105"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ŽoNFP,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14:paraId="2532B89E" w14:textId="77777777" w:rsidR="00FB16C6" w:rsidRPr="00FB16C6" w:rsidRDefault="00FB16C6" w:rsidP="00FB16C6">
      <w:pPr>
        <w:spacing w:before="120" w:after="120" w:line="288" w:lineRule="auto"/>
        <w:jc w:val="both"/>
        <w:rPr>
          <w:rFonts w:cs="Arial"/>
          <w:szCs w:val="19"/>
        </w:rPr>
      </w:pPr>
      <w:r w:rsidRPr="00FB16C6">
        <w:rPr>
          <w:rFonts w:cs="Arial"/>
          <w:szCs w:val="19"/>
        </w:rPr>
        <w:t>O neschválení ŽoNFP rozhodne poskytovateľ aj v prípade, že nedostatky vo verejnom obstarávaní, ktoré mali alebo mohli mať vplyv na výsledok verejného obstarávania identifikoval ÚVO v rozhodnutí podľa § 175 ods. 4 ZVO alebo boli identifikované v rozhodnutí Rady ÚVO.</w:t>
      </w:r>
    </w:p>
    <w:p w14:paraId="1E4229FF" w14:textId="77777777" w:rsidR="00FB16C6" w:rsidRPr="00963E0D" w:rsidRDefault="00FB16C6" w:rsidP="00963E0D">
      <w:pPr>
        <w:spacing w:before="120" w:after="120" w:line="288" w:lineRule="auto"/>
        <w:jc w:val="both"/>
        <w:rPr>
          <w:rFonts w:cs="Arial"/>
          <w:szCs w:val="19"/>
        </w:rPr>
      </w:pPr>
    </w:p>
    <w:p w14:paraId="46ACC565" w14:textId="415F35D5" w:rsidR="00963E0D" w:rsidRPr="00963E0D" w:rsidRDefault="00963E0D" w:rsidP="00963E0D">
      <w:pPr>
        <w:spacing w:before="120" w:after="120" w:line="288" w:lineRule="auto"/>
        <w:jc w:val="both"/>
        <w:rPr>
          <w:rFonts w:cs="Arial"/>
          <w:b/>
          <w:szCs w:val="19"/>
        </w:rPr>
      </w:pPr>
      <w:r w:rsidRPr="00963E0D">
        <w:rPr>
          <w:rFonts w:cs="Arial"/>
          <w:b/>
          <w:szCs w:val="19"/>
        </w:rPr>
        <w:t>i)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14:paraId="0B095B13" w14:textId="00E7A530"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ex-ante kontrolu, druhú ex-ante kontrolu a následnú ex-post kontrolu, prípadne podľa okolností aj ako štandardnú ex-post kontrolu. </w:t>
      </w:r>
    </w:p>
    <w:p w14:paraId="37BED307" w14:textId="3D304059"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5" w:history="1">
        <w:r w:rsidR="005C056B" w:rsidRPr="00BC7715">
          <w:rPr>
            <w:rStyle w:val="Hypertextovprepojenie"/>
            <w:rFonts w:cs="Arial"/>
            <w:szCs w:val="19"/>
          </w:rPr>
          <w:t>http://www.minv.sk/?usmernenia-riadiaceho-organu</w:t>
        </w:r>
      </w:hyperlink>
      <w:r>
        <w:rPr>
          <w:rFonts w:cs="Arial"/>
          <w:szCs w:val="19"/>
        </w:rPr>
        <w:t>.</w:t>
      </w:r>
    </w:p>
    <w:p w14:paraId="4E48F185" w14:textId="07CF3991"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ŽoP,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14:paraId="6D1D89A2" w14:textId="381084EB"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2" w:name="_Toc440372884"/>
      <w:bookmarkStart w:id="173" w:name="_Toc440636395"/>
      <w:r w:rsidRPr="0073389C">
        <w:rPr>
          <w:lang w:val="sk-SK"/>
        </w:rPr>
        <w:t>Finančné opravy</w:t>
      </w:r>
      <w:bookmarkEnd w:id="172"/>
      <w:bookmarkEnd w:id="173"/>
    </w:p>
    <w:p w14:paraId="23F5118A" w14:textId="52987ACD"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14:paraId="0BAE8E76" w14:textId="63516382"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14:paraId="429C089A" w14:textId="77777777" w:rsidR="00EC5388" w:rsidRPr="00AE218A" w:rsidRDefault="00EC5388" w:rsidP="00EC5388">
      <w:pPr>
        <w:spacing w:before="120" w:after="120" w:line="288" w:lineRule="auto"/>
        <w:jc w:val="both"/>
        <w:rPr>
          <w:rFonts w:cs="Arial"/>
          <w:szCs w:val="19"/>
        </w:rPr>
      </w:pP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40326F3D" w:rsidR="00EC5388" w:rsidRPr="00EC5388" w:rsidRDefault="00EC5388" w:rsidP="009A78AB">
      <w:pPr>
        <w:pStyle w:val="Odsekzoznamu"/>
        <w:numPr>
          <w:ilvl w:val="0"/>
          <w:numId w:val="89"/>
        </w:numPr>
        <w:spacing w:before="120" w:after="120" w:line="288" w:lineRule="auto"/>
        <w:jc w:val="both"/>
        <w:rPr>
          <w:rFonts w:cs="Arial"/>
          <w:szCs w:val="19"/>
        </w:rPr>
      </w:pPr>
      <w:r w:rsidRPr="00EC5388">
        <w:rPr>
          <w:rFonts w:cs="Arial"/>
          <w:szCs w:val="19"/>
        </w:rPr>
        <w:t>ex-ante;</w:t>
      </w:r>
    </w:p>
    <w:p w14:paraId="3218BAF4" w14:textId="2BC36779" w:rsidR="00EC5388" w:rsidRDefault="00EC5388" w:rsidP="009A78AB">
      <w:pPr>
        <w:pStyle w:val="Odsekzoznamu"/>
        <w:numPr>
          <w:ilvl w:val="0"/>
          <w:numId w:val="89"/>
        </w:numPr>
        <w:spacing w:before="120" w:after="120" w:line="288" w:lineRule="auto"/>
        <w:jc w:val="both"/>
        <w:rPr>
          <w:rFonts w:cs="Arial"/>
          <w:szCs w:val="19"/>
        </w:rPr>
      </w:pPr>
      <w:r w:rsidRPr="00EC5388">
        <w:rPr>
          <w:rFonts w:cs="Arial"/>
          <w:szCs w:val="19"/>
        </w:rPr>
        <w:t>ex-post.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7777777" w:rsidR="00EC5388" w:rsidRPr="00AE218A" w:rsidRDefault="00EC5388" w:rsidP="00EC5388">
      <w:pPr>
        <w:spacing w:before="120" w:after="120" w:line="288" w:lineRule="auto"/>
        <w:jc w:val="both"/>
        <w:rPr>
          <w:rFonts w:cs="Arial"/>
          <w:szCs w:val="19"/>
        </w:rPr>
      </w:pPr>
      <w:r w:rsidRPr="00AE218A">
        <w:rPr>
          <w:rFonts w:cs="Arial"/>
          <w:szCs w:val="19"/>
        </w:rPr>
        <w:t>Ex-ante finančná oprava je  individuálne zníženie hodnoty deklarovaných výdavkov z dôvodu zistení porušenia legislatívy SR alebo EÚ, najmä v oblasti VO. Výška individuálnej ex-ante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p>
    <w:p w14:paraId="67BD4AC3" w14:textId="77777777"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 xml:space="preserve">alebo mohlo mať vplyv na výsledok VO,  určí výšku ex-ante finančnej opravy, pričom na jej aplikovanie musia byť splnené nasledujúce podmienky: </w:t>
      </w:r>
    </w:p>
    <w:p w14:paraId="63E9F7AD" w14:textId="77777777"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ex-ante finančnou opravou ,</w:t>
      </w:r>
    </w:p>
    <w:p w14:paraId="21CF83B6"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 xml:space="preserve">prijímateľ preukáže, že disponuje finančnými zdrojmi, ktorými zabezpečí úhradu budúcich neoprávnených výdavkov minimálne vo výške navrhovanej ex-ante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77777777"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ex-ante finančnou opravou.</w:t>
      </w:r>
    </w:p>
    <w:p w14:paraId="683D7B1B" w14:textId="340D4FF2"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14:paraId="19A8B984" w14:textId="6CC80129"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 xml:space="preserve">Pri určovaní ex-ante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14:paraId="78E1B658" w14:textId="558BDBDB"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 xml:space="preserve">Dôvody na udelenie ex-ante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14:paraId="061D536B" w14:textId="717E530C"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t>S ohľadom na splnenie podmienky uvedenej v kapitole 4 v bode 1 písm. a) Metodického pokynu CKO č. 5</w:t>
      </w:r>
      <w:r w:rsidRPr="00FA60FD">
        <w:t xml:space="preserve"> </w:t>
      </w:r>
      <w:r w:rsidRPr="00FA60FD">
        <w:rPr>
          <w:rFonts w:cs="Arial"/>
          <w:szCs w:val="19"/>
        </w:rPr>
        <w:t>k určovaniu finančných opráv, ktoré má riadiaci orgán uplatňovať pri nedodržaní pravidiel a postupov verejného obstarávania</w:t>
      </w:r>
      <w:r w:rsidRPr="00AE218A">
        <w:rPr>
          <w:rFonts w:cs="Arial"/>
          <w:szCs w:val="19"/>
        </w:rPr>
        <w:t xml:space="preserve">, týkajúcej sa povinnosti uzavretia dodatku k </w:t>
      </w:r>
      <w:r w:rsidR="00E23756">
        <w:rPr>
          <w:rFonts w:cs="Arial"/>
          <w:szCs w:val="19"/>
        </w:rPr>
        <w:t>z</w:t>
      </w:r>
      <w:r w:rsidRPr="00AE218A">
        <w:rPr>
          <w:rFonts w:cs="Arial"/>
          <w:szCs w:val="19"/>
        </w:rPr>
        <w:t xml:space="preserve">mluve o NFP, poskytovateľ bude požadovať uzavretie dodatku k </w:t>
      </w:r>
      <w:r w:rsidR="00E23756">
        <w:rPr>
          <w:rFonts w:cs="Arial"/>
          <w:szCs w:val="19"/>
        </w:rPr>
        <w:t>z</w:t>
      </w:r>
      <w:r w:rsidRPr="00AE218A">
        <w:rPr>
          <w:rFonts w:cs="Arial"/>
          <w:szCs w:val="19"/>
        </w:rPr>
        <w:t xml:space="preserve">mluve o NFP v rámci každého VO, ktorého predpokladaná hodnota </w:t>
      </w:r>
      <w:r w:rsidR="00D519DF">
        <w:rPr>
          <w:rFonts w:cs="Arial"/>
          <w:szCs w:val="19"/>
        </w:rPr>
        <w:t>finančnej opravy</w:t>
      </w:r>
      <w:r w:rsidRPr="00AE218A">
        <w:rPr>
          <w:rFonts w:cs="Arial"/>
          <w:szCs w:val="19"/>
        </w:rPr>
        <w:t xml:space="preserve"> bude rovná alebo vyššia ako 20 000,- EUR. </w:t>
      </w:r>
    </w:p>
    <w:p w14:paraId="2E15F6AE" w14:textId="1644E22E" w:rsidR="00EC5388" w:rsidRPr="00AE218A"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 xml:space="preserve">mluve o NFP, ktoré nie je podpísané zo strany poskytovateľa. Prijímateľ je povinný v prípade akceptovania ex-ante finančnej opravy zaslať poskytovateľovi podpísaný dodatok k </w:t>
      </w:r>
      <w:r w:rsidR="00E23756">
        <w:rPr>
          <w:rFonts w:cs="Arial"/>
          <w:szCs w:val="19"/>
        </w:rPr>
        <w:t>z</w:t>
      </w:r>
      <w:r w:rsidRPr="00AE218A">
        <w:rPr>
          <w:rFonts w:cs="Arial"/>
          <w:szCs w:val="19"/>
        </w:rPr>
        <w:t xml:space="preserve">mluve o NFP, spolu s ostatnými dokladmi preukazujúcimi splnenie ďalších podmienok určených poskytovateľom na udelenie ex-ante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77777777" w:rsidR="00EC5388" w:rsidRDefault="00EC5388" w:rsidP="00EC5388">
      <w:pPr>
        <w:spacing w:before="120" w:after="120" w:line="288" w:lineRule="auto"/>
        <w:jc w:val="both"/>
        <w:rPr>
          <w:rFonts w:cs="Arial"/>
          <w:b/>
          <w:szCs w:val="19"/>
        </w:rPr>
      </w:pP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77777777"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po úhrade oprávnených výdavkov v ŽoP, vzťahujúcou sa k nákladom projektu, ktoré vyplývajú z realizácie VO (napr. na základe výsledkov kontroly na mieste, vládneho auditu, auditu EK a pod.), poskytovateľ postupuje v zmysle § 41 zákona o príspevku z EŠIF.</w:t>
      </w:r>
    </w:p>
    <w:p w14:paraId="7A55D322" w14:textId="6BA5CB0F" w:rsidR="009D7F63" w:rsidRPr="0073389C" w:rsidRDefault="009D7F63" w:rsidP="009D7F63">
      <w:pPr>
        <w:spacing w:before="120" w:after="120" w:line="288" w:lineRule="auto"/>
        <w:jc w:val="both"/>
      </w:pPr>
      <w:r w:rsidRPr="0073389C">
        <w:rPr>
          <w:b/>
          <w:i/>
          <w:color w:val="00B0F0"/>
        </w:rPr>
        <w:lastRenderedPageBreak/>
        <w:t>Povinnosť poskytovateľa:</w:t>
      </w:r>
      <w:r w:rsidRPr="0073389C">
        <w:rPr>
          <w:color w:val="00B0F0"/>
        </w:rPr>
        <w:t xml:space="preserve"> </w:t>
      </w:r>
      <w:r w:rsidRPr="0073389C">
        <w:t xml:space="preserve">Poskytovateľ je v zmysle § 41 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14:paraId="65386DA0" w14:textId="77777777" w:rsidR="00EC5388" w:rsidRDefault="00EC5388" w:rsidP="009D7F63">
      <w:pPr>
        <w:spacing w:before="120" w:after="120" w:line="288" w:lineRule="auto"/>
        <w:jc w:val="both"/>
        <w:rPr>
          <w:rFonts w:cs="Arial"/>
          <w:szCs w:val="19"/>
        </w:rPr>
      </w:pPr>
    </w:p>
    <w:p w14:paraId="328F0ECA" w14:textId="149C386A" w:rsidR="00EC5388" w:rsidRPr="0073389C" w:rsidRDefault="00EC5388" w:rsidP="00EC5388">
      <w:pPr>
        <w:tabs>
          <w:tab w:val="left" w:pos="1014"/>
        </w:tabs>
        <w:spacing w:before="120" w:after="120" w:line="288" w:lineRule="auto"/>
        <w:jc w:val="both"/>
        <w:rPr>
          <w:rFonts w:cs="Arial"/>
          <w:szCs w:val="19"/>
        </w:rPr>
      </w:pPr>
      <w:r>
        <w:rPr>
          <w:rFonts w:cs="Arial"/>
          <w:szCs w:val="19"/>
        </w:rPr>
        <w:t xml:space="preserve">a) Ak </w:t>
      </w:r>
      <w:r w:rsidRPr="0073389C">
        <w:rPr>
          <w:rFonts w:cs="Arial"/>
          <w:szCs w:val="19"/>
        </w:rPr>
        <w:t xml:space="preserve">poskytovateľ </w:t>
      </w:r>
      <w:r w:rsidRPr="00661D53">
        <w:rPr>
          <w:rFonts w:cs="Arial"/>
          <w:b/>
          <w:szCs w:val="19"/>
        </w:rPr>
        <w:t>nedisponuje</w:t>
      </w:r>
      <w:r w:rsidRPr="0073389C">
        <w:rPr>
          <w:rFonts w:cs="Arial"/>
          <w:szCs w:val="19"/>
        </w:rPr>
        <w:t xml:space="preserve"> v danej veci závermi z kontroly ÚVO, </w:t>
      </w:r>
      <w:r w:rsidRPr="00017289">
        <w:rPr>
          <w:rFonts w:cs="Arial"/>
          <w:szCs w:val="19"/>
        </w:rPr>
        <w:t xml:space="preserve">vykoná opätovnú </w:t>
      </w:r>
      <w:r w:rsidR="00E911B7">
        <w:rPr>
          <w:rFonts w:cs="Arial"/>
          <w:szCs w:val="19"/>
        </w:rPr>
        <w:t xml:space="preserve">finančnú </w:t>
      </w:r>
      <w:r w:rsidRPr="00017289">
        <w:rPr>
          <w:rFonts w:cs="Arial"/>
          <w:szCs w:val="19"/>
        </w:rPr>
        <w:t>kontrolu VO</w:t>
      </w:r>
      <w:r>
        <w:rPr>
          <w:rFonts w:cs="Arial"/>
          <w:szCs w:val="19"/>
        </w:rPr>
        <w:t xml:space="preserve"> a postupuje nasledovne:</w:t>
      </w:r>
    </w:p>
    <w:p w14:paraId="7A55D323" w14:textId="482CF999"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 xml:space="preserve">kontrolu VO. </w:t>
      </w:r>
    </w:p>
    <w:p w14:paraId="7A55D324" w14:textId="4EE350F4"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1"/>
      </w:r>
      <w:r w:rsidRPr="0073389C">
        <w:t xml:space="preserve"> vrátenie poskytnutého príspevku resp. jeho časti.</w:t>
      </w:r>
    </w:p>
    <w:p w14:paraId="7A55D325" w14:textId="42A965C1"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14:paraId="7A55D326" w14:textId="77B17AD9"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14:paraId="7A55D327" w14:textId="77777777"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zákona o príspevku z EŠIF. </w:t>
      </w:r>
    </w:p>
    <w:p w14:paraId="7A55D328" w14:textId="6EC2C50D"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 § 41 ods. 2 zákona o príspevku z EŠIF podá podnet na vykonanie kontroly VO na ÚVO (v prípade, ak predmetné VO nebolo doposiaľ predmetom kontroly ÚVO). </w:t>
      </w:r>
    </w:p>
    <w:p w14:paraId="7A55D329" w14:textId="5F23D146"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3 zákona o príspevku z EŠIF, to znamená, že rozhodne o vrátení jeden a pol násobku sumy stanovenej v predchádzajúcej výzve na úhradu, najviac však do výšky 100 % poskytnutého príspevku alebo jeho časti na predmet zákazky. </w:t>
      </w:r>
    </w:p>
    <w:p w14:paraId="7A55D32A" w14:textId="6047A220"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w:t>
      </w:r>
      <w:r w:rsidRPr="0073389C">
        <w:lastRenderedPageBreak/>
        <w:t xml:space="preserve">prijímateľa resp. jeho nedoručení v stanovenej lehote, vypracuje poskytovateľ Rozhodnutie v zmysle § 46 a nasl. Správneho poriadku. </w:t>
      </w:r>
    </w:p>
    <w:p w14:paraId="7A55D32C" w14:textId="77777777" w:rsidR="009D7F63" w:rsidRPr="0073389C" w:rsidRDefault="009D7F63" w:rsidP="009A78AB">
      <w:pPr>
        <w:pStyle w:val="Odsekzoznamu"/>
        <w:numPr>
          <w:ilvl w:val="0"/>
          <w:numId w:val="43"/>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671AA64F" w14:textId="6A534D94" w:rsidR="005D0624" w:rsidRPr="004B129C" w:rsidRDefault="005D0624" w:rsidP="005D0624">
      <w:pPr>
        <w:tabs>
          <w:tab w:val="left" w:pos="1014"/>
        </w:tabs>
        <w:spacing w:before="120" w:after="120" w:line="288" w:lineRule="auto"/>
        <w:jc w:val="both"/>
        <w:rPr>
          <w:rFonts w:cs="Arial"/>
          <w:szCs w:val="19"/>
        </w:rPr>
      </w:pPr>
      <w:r>
        <w:rPr>
          <w:rFonts w:cs="Arial"/>
          <w:szCs w:val="19"/>
        </w:rPr>
        <w:t>b)</w:t>
      </w:r>
      <w:r w:rsidRPr="004B129C">
        <w:rPr>
          <w:rFonts w:cs="Arial"/>
          <w:szCs w:val="19"/>
        </w:rPr>
        <w:t xml:space="preserve"> Ak poskytovateľ už </w:t>
      </w:r>
      <w:r w:rsidRPr="004B129C">
        <w:rPr>
          <w:rFonts w:cs="Arial"/>
          <w:b/>
          <w:szCs w:val="19"/>
        </w:rPr>
        <w:t>disponuje</w:t>
      </w:r>
      <w:r w:rsidRPr="004B129C">
        <w:rPr>
          <w:rFonts w:cs="Arial"/>
          <w:szCs w:val="19"/>
        </w:rPr>
        <w:t xml:space="preserve"> v danej veci závermi z kontroly ÚVO , vykoná opätovnú </w:t>
      </w:r>
      <w:r w:rsidR="00E911B7">
        <w:rPr>
          <w:rFonts w:cs="Arial"/>
          <w:szCs w:val="19"/>
        </w:rPr>
        <w:t>finančnú</w:t>
      </w:r>
      <w:r w:rsidRPr="004B129C">
        <w:rPr>
          <w:rFonts w:cs="Arial"/>
          <w:szCs w:val="19"/>
        </w:rPr>
        <w:t xml:space="preserve"> kontrolu VO a postupuje nasledovne:</w:t>
      </w:r>
    </w:p>
    <w:p w14:paraId="046B0E5A" w14:textId="6A907DA8"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14:paraId="1A124A85" w14:textId="3D6E8CB1"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14:paraId="4AC19028" w14:textId="55184954"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14:paraId="7EC41F13" w14:textId="77777777"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14:paraId="44E92638" w14:textId="1FC1EBFE"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 41 ods. 5 zákona o príspevku z EŠIF rozhodne v správnom konaní o vrátení jeden a pol násobku sumy stanovenej v predchádzajúcej výzve na úhradu, najviac však do výšky 100 % poskytnutého príspevku alebo jeho časti na predmet zákazky. </w:t>
      </w:r>
    </w:p>
    <w:p w14:paraId="3F6C182C" w14:textId="77777777"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D" w14:textId="2891111D"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14:paraId="7A55D32E" w14:textId="77777777" w:rsidR="009D7F63" w:rsidRPr="0073389C" w:rsidRDefault="009D7F63" w:rsidP="009D7F63">
      <w:pPr>
        <w:pStyle w:val="Nadpis3"/>
        <w:ind w:left="567" w:firstLine="0"/>
        <w:rPr>
          <w:lang w:val="sk-SK"/>
        </w:rPr>
      </w:pPr>
      <w:bookmarkStart w:id="174" w:name="_Toc440372885"/>
      <w:bookmarkStart w:id="175" w:name="_Toc440636396"/>
      <w:r w:rsidRPr="0073389C">
        <w:rPr>
          <w:lang w:val="sk-SK"/>
        </w:rPr>
        <w:t>Postupy vo verejnom obstarávaní</w:t>
      </w:r>
      <w:bookmarkEnd w:id="174"/>
      <w:bookmarkEnd w:id="175"/>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1F36501D"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lastRenderedPageBreak/>
        <w:t xml:space="preserve">Kontrola VO realizovaného postupom nadlimitnej verejnej súťaže zadávanej prostredníctvom elektronického trhoviska sa vykonáva analogicky ku kontrole zadávania nadlimitných zákaziek zadávaných postupom verejnej súťaže (prvá ex-ante kontrola, druhá ex-ante kontrola a následná ex-post kontrola) vrátane rozsahu, formy a spôsobu predkladania dokumentácie k VO so zohľadnením špecifík elektronického trhoviska.  </w:t>
      </w:r>
    </w:p>
    <w:p w14:paraId="01AC19EB" w14:textId="77777777"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9A78AB">
      <w:pPr>
        <w:numPr>
          <w:ilvl w:val="0"/>
          <w:numId w:val="90"/>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49702D54"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Elektronické trhovisko sú povinní používať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2C5B49">
        <w:rPr>
          <w:rFonts w:cs="Arial"/>
          <w:szCs w:val="19"/>
          <w:u w:val="single"/>
        </w:rPr>
        <w:t>5</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sú povinní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77777777"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stavebné práce alebo služby na trhu sú na účely tohto zákona také tovary, stavebné práce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0ABBB0E4"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77777777"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w:t>
      </w:r>
      <w:r w:rsidRPr="0073389C">
        <w:rPr>
          <w:rFonts w:cs="Arial"/>
          <w:szCs w:val="19"/>
        </w:rPr>
        <w:lastRenderedPageBreak/>
        <w:t xml:space="preserve">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20A8956E" w:rsidR="00267484" w:rsidRPr="008A2C57" w:rsidRDefault="00267484" w:rsidP="00267484">
      <w:pPr>
        <w:tabs>
          <w:tab w:val="left" w:pos="1014"/>
        </w:tabs>
        <w:spacing w:before="120" w:after="120" w:line="288" w:lineRule="auto"/>
        <w:jc w:val="both"/>
        <w:rPr>
          <w:rFonts w:cs="Arial"/>
          <w:szCs w:val="19"/>
          <w:lang w:eastAsia="sk-SK"/>
        </w:rPr>
      </w:pPr>
      <w:r w:rsidRPr="008A2C57">
        <w:rPr>
          <w:rFonts w:cs="Arial"/>
          <w:b/>
          <w:szCs w:val="19"/>
          <w:lang w:eastAsia="sk-SK"/>
        </w:rPr>
        <w:t>Prijímateľ je povinný v rozhodnom čase výberu postupu podľa ZVO určiť, či ním zadefinovaný/požadovaný predmet zákazky spĺňa podmienky bežnej dostupnosti</w:t>
      </w:r>
      <w:r w:rsidRPr="008A2C57">
        <w:rPr>
          <w:rFonts w:cs="Arial"/>
          <w:szCs w:val="19"/>
          <w:lang w:eastAsia="sk-SK"/>
        </w:rPr>
        <w:t xml:space="preserve"> napríklad “testom bežnej dostupnosti” (príloha č.</w:t>
      </w:r>
      <w:r w:rsidR="00506C97" w:rsidRPr="008A2C57">
        <w:rPr>
          <w:rFonts w:cs="Arial"/>
          <w:szCs w:val="19"/>
          <w:lang w:eastAsia="sk-SK"/>
        </w:rPr>
        <w:t>19</w:t>
      </w:r>
      <w:r w:rsidRPr="008A2C57">
        <w:rPr>
          <w:rFonts w:cs="Arial"/>
          <w:szCs w:val="19"/>
          <w:lang w:eastAsia="sk-SK"/>
        </w:rPr>
        <w:t xml:space="preserve">). </w:t>
      </w:r>
    </w:p>
    <w:p w14:paraId="2100A921" w14:textId="6C5F4640"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1FC68489"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14:paraId="7FE44BE3" w14:textId="1163ADD7"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74404C0E" w14:textId="5E63F508"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Nakoľko účinnosť zmlúv uzavretých cez elektronické trhovisko, ktoré budú spolufinancované z fondov EÚ, je prepojená na výsledky kontroly VO zo strany poskytovateľa,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(t.j. stanovil túto lehotu s dostatočnou rezervou pre výkon kontroly). </w:t>
      </w: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79E98668" w14:textId="64D48331"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00F27D4D"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lastRenderedPageBreak/>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pred vložením opisného formulára do „karantény“ </w:t>
      </w:r>
      <w:r w:rsidRPr="0073389C">
        <w:rPr>
          <w:rFonts w:cs="Arial"/>
          <w:szCs w:val="19"/>
        </w:rPr>
        <w:t>(„prvá ex-ante kontrola“) a po vygenerovaní výslednej zmluvy s úspešným uchádzačom</w:t>
      </w:r>
      <w:r w:rsidR="00A57973">
        <w:rPr>
          <w:rFonts w:cs="Arial"/>
          <w:szCs w:val="19"/>
        </w:rPr>
        <w:t xml:space="preserve"> (v CRZ)</w:t>
      </w:r>
      <w:r w:rsidRPr="0073389C">
        <w:rPr>
          <w:rFonts w:cs="Arial"/>
          <w:szCs w:val="19"/>
        </w:rPr>
        <w:t xml:space="preserve"> („štandardná ex-post kontrola“) a po jej zverejnení v </w:t>
      </w:r>
      <w:r w:rsidR="00130936">
        <w:rPr>
          <w:rFonts w:cs="Arial"/>
          <w:szCs w:val="19"/>
        </w:rPr>
        <w:t>CRZ</w:t>
      </w:r>
      <w:r w:rsidRPr="0073389C">
        <w:rPr>
          <w:rFonts w:cs="Arial"/>
          <w:szCs w:val="19"/>
        </w:rPr>
        <w:t xml:space="preserve">.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 xml:space="preserve">opis predmetu zákazky, </w:t>
      </w:r>
    </w:p>
    <w:p w14:paraId="56A2BEE3"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prípadné objednávkové atribúty,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1BD953C4"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 xml:space="preserve">ex-ante </w:t>
      </w:r>
      <w:r w:rsidRPr="00771817">
        <w:rPr>
          <w:rFonts w:cs="Arial"/>
          <w:szCs w:val="19"/>
        </w:rPr>
        <w:t>finančnú opravu a poskytovateľ v záveroch kontroly VO nepripustí výdavky súvisiace s VO do financovania v plnom rozsahu.</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5AC7AB7C" w14:textId="2D9BB088"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ide o tovar, stavebnú prácu alebo službu, ktorá nie je bežne dostupná na trhu. V prípade, že predmetom obstarávania je tovar,</w:t>
      </w:r>
      <w:r>
        <w:rPr>
          <w:rFonts w:cs="Arial"/>
          <w:szCs w:val="19"/>
        </w:rPr>
        <w:t xml:space="preserve"> </w:t>
      </w:r>
      <w:r w:rsidRPr="005F329C">
        <w:rPr>
          <w:rFonts w:cs="Arial"/>
          <w:szCs w:val="19"/>
        </w:rPr>
        <w:t>stavebná práca alebo služba, ktorá je bežne dostupná na trhu, prijímateľ je povinný 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6CA8D282"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ŽoNFP. V prípade, ak pri implementácii projektu prijímateľ predloží RO pre OP EVS na </w:t>
      </w:r>
      <w:r w:rsidR="00E911B7">
        <w:rPr>
          <w:rFonts w:cs="Arial"/>
          <w:szCs w:val="19"/>
        </w:rPr>
        <w:t xml:space="preserve">finančnú </w:t>
      </w:r>
      <w:r w:rsidRPr="00A57E12">
        <w:rPr>
          <w:rFonts w:cs="Arial"/>
          <w:szCs w:val="19"/>
        </w:rPr>
        <w:t>kontrolu verejného obstarávania zákazku, pri realizácii ktorej postupoval v rozpore s pravidlami uvedenými v Príručke pre prijímateľa, RO pre OP EVS je povinný vylúčiť výdavky vyplývajúce z realizácie takéhoto obstarávania z financovania v plnom rozsahu.</w:t>
      </w:r>
    </w:p>
    <w:p w14:paraId="746608EE" w14:textId="77777777" w:rsidR="00672FF6" w:rsidRDefault="00672FF6" w:rsidP="001B3386">
      <w:pPr>
        <w:tabs>
          <w:tab w:val="left" w:pos="1014"/>
        </w:tabs>
        <w:spacing w:before="120" w:after="120" w:line="288" w:lineRule="auto"/>
        <w:jc w:val="both"/>
        <w:rPr>
          <w:rFonts w:cs="Arial"/>
          <w:szCs w:val="19"/>
        </w:rPr>
      </w:pPr>
    </w:p>
    <w:p w14:paraId="390AA26B" w14:textId="77777777"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14:paraId="6805ABB3" w14:textId="77777777" w:rsidR="001B3386" w:rsidRPr="00703E20" w:rsidRDefault="001B3386" w:rsidP="001B3386">
      <w:pPr>
        <w:spacing w:before="120" w:after="120" w:line="288" w:lineRule="auto"/>
        <w:jc w:val="both"/>
        <w:rPr>
          <w:rFonts w:cs="Arial"/>
          <w:szCs w:val="19"/>
        </w:rPr>
      </w:pPr>
      <w:r w:rsidRPr="00FF3561">
        <w:rPr>
          <w:rFonts w:cs="Arial"/>
          <w:szCs w:val="19"/>
        </w:rPr>
        <w:lastRenderedPageBreak/>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v lehote minimálne 5 pracovných dní a maximálne 10 pracovných dní odo dňa doručenia žiadosti o vysvetlenie resp. doplnenie dokumentácie. Dňom odoslania žiadosti prestáva plynúť lehota na výkon kontroly</w:t>
      </w:r>
      <w:r>
        <w:rPr>
          <w:rFonts w:cs="Arial"/>
          <w:szCs w:val="19"/>
        </w:rPr>
        <w:t xml:space="preserve"> VO</w:t>
      </w:r>
      <w:r w:rsidRPr="00FF3561">
        <w:rPr>
          <w:rFonts w:cs="Arial"/>
          <w:szCs w:val="19"/>
        </w:rPr>
        <w:t>. Dňom nasledujúcim po dni doručenia vysvetlenia alebo doplnenia dokumentácie poskytovateľovi začína plynúť nová lehota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26C2FBE3"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princípov 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4FE41BCF"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2847FDBD"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rozsahu, závažnosti a momentu zistenia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716FA1B3" w:rsidR="00B32509" w:rsidRPr="0073389C" w:rsidRDefault="00B32509" w:rsidP="009D7F63">
      <w:pPr>
        <w:tabs>
          <w:tab w:val="left" w:pos="1014"/>
        </w:tabs>
        <w:spacing w:before="120" w:after="120" w:line="288" w:lineRule="auto"/>
        <w:jc w:val="both"/>
      </w:pPr>
      <w:r w:rsidRPr="00B32509">
        <w:t>V prípade, že predmetom obstarávania je tovar, stavebná práca alebo služba, ktorá nie je bežne dostupná na trhu, prijímateľ je povinný zadávať zákazku podľa nasledovných postupov.</w:t>
      </w: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5 000 EUR (ďalej len „zákazky nad 5 000 EUR“); </w:t>
      </w:r>
    </w:p>
    <w:p w14:paraId="7A55D332" w14:textId="527F714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 ktorých predpokladaná hodnota bez DPH je nižšia ako 5 000 EUR (ďalej len „zákazky do 5 000 EUR“)</w:t>
      </w:r>
      <w:r w:rsidR="000E2751">
        <w:rPr>
          <w:rFonts w:cs="Arial"/>
          <w:szCs w:val="19"/>
          <w:lang w:val="sk-SK"/>
        </w:rPr>
        <w:t>.</w:t>
      </w:r>
      <w:r w:rsidRPr="0073389C">
        <w:rPr>
          <w:rFonts w:cs="Arial"/>
          <w:szCs w:val="19"/>
          <w:lang w:val="sk-SK"/>
        </w:rPr>
        <w:t xml:space="preserve"> </w:t>
      </w:r>
    </w:p>
    <w:p w14:paraId="15FB5CE2" w14:textId="31F5E6F5" w:rsidR="009F4290" w:rsidRDefault="009F4290" w:rsidP="009D7F63">
      <w:pPr>
        <w:tabs>
          <w:tab w:val="left" w:pos="1014"/>
        </w:tabs>
        <w:spacing w:before="120" w:after="120" w:line="288" w:lineRule="auto"/>
        <w:jc w:val="both"/>
        <w:rPr>
          <w:b/>
        </w:rPr>
      </w:pPr>
    </w:p>
    <w:p w14:paraId="12CBDD4F" w14:textId="576EAB8A" w:rsidR="009F4290" w:rsidRDefault="009F4290" w:rsidP="009D7F63">
      <w:pPr>
        <w:tabs>
          <w:tab w:val="left" w:pos="1014"/>
        </w:tabs>
        <w:spacing w:before="120" w:after="120" w:line="288" w:lineRule="auto"/>
        <w:jc w:val="both"/>
        <w:rPr>
          <w:b/>
        </w:rPr>
      </w:pPr>
      <w:r w:rsidRPr="009F4290">
        <w:rPr>
          <w:b/>
          <w:i/>
          <w:color w:val="FF0000"/>
        </w:rPr>
        <w:t>Povinnosť prijímateľa:</w:t>
      </w:r>
      <w:r w:rsidRPr="009F4290">
        <w:rPr>
          <w:b/>
          <w:color w:val="FF0000"/>
        </w:rPr>
        <w:t xml:space="preserve"> </w:t>
      </w:r>
      <w:r w:rsidR="00B32509" w:rsidRPr="00A57E12">
        <w:t>Prijímateľ  je povinný uzavrieť s úspešným uchádzačom písomnú zmluvu pri všetkých typoch zákaziek, s výnimkou zákaziek do 5 000 EUR. Pri zákazkách do 5 000 EUR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w:t>
      </w:r>
      <w:r w:rsidRPr="009F4290">
        <w:lastRenderedPageBreak/>
        <w:t>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7A55D334" w14:textId="77777777" w:rsidR="009D7F63" w:rsidRPr="0073389C" w:rsidRDefault="009D7F63" w:rsidP="009D7F63">
      <w:pPr>
        <w:tabs>
          <w:tab w:val="left" w:pos="1014"/>
        </w:tabs>
        <w:spacing w:before="120" w:after="120" w:line="288" w:lineRule="auto"/>
        <w:jc w:val="both"/>
        <w:rPr>
          <w:b/>
        </w:rPr>
      </w:pPr>
      <w:r w:rsidRPr="0073389C">
        <w:rPr>
          <w:b/>
        </w:rPr>
        <w:t>Zákazky nad 5 000 EUR</w:t>
      </w:r>
    </w:p>
    <w:p w14:paraId="7A55D335" w14:textId="77777777" w:rsidR="009D7F63" w:rsidRPr="0073389C" w:rsidRDefault="009D7F63" w:rsidP="009D7F63">
      <w:pPr>
        <w:tabs>
          <w:tab w:val="left" w:pos="1014"/>
        </w:tabs>
        <w:spacing w:before="120" w:after="120" w:line="288" w:lineRule="auto"/>
        <w:jc w:val="both"/>
      </w:pPr>
      <w:r w:rsidRPr="0073389C">
        <w:t xml:space="preserve">Ak ide o zákazky nad 5 000 EUR a zároveň je splnená podmienka, že takáto zákazka </w:t>
      </w:r>
      <w:r w:rsidRPr="00F877F0">
        <w:rPr>
          <w:b/>
        </w:rPr>
        <w:t>nie je zadávaná cez elektronické trhovisko</w:t>
      </w:r>
      <w:r w:rsidRPr="0073389C">
        <w:t xml:space="preserve">, t. j. v danom prípade ide o tovar, stavebnú prácu alebo službu, ktorá nie je bežne dostupná na trhu, prijímateľ musí vykonať všetky ďalej uvedené úkony, ktoré majú zabezpečiť získanie čo najvyššieho počtu písomných ponúk na obstaranie tovarov, stavebných prác alebo služieb. </w:t>
      </w:r>
    </w:p>
    <w:p w14:paraId="7D090E95" w14:textId="0D2EAB55" w:rsidR="00F877F0" w:rsidRPr="0073389C" w:rsidRDefault="00F877F0"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V prípade, že predmetom obstarávania je tovar, stavebná práca alebo služba, ktorá je bežne dostupná na trhu, prijímateľ je povinný zadávať zákazku prostredníctvom elektronického trhoviska podľa § </w:t>
      </w:r>
      <w:r w:rsidR="0058112B">
        <w:t>108</w:t>
      </w:r>
      <w:r w:rsidR="0058112B" w:rsidRPr="0073389C">
        <w:t xml:space="preserve"> </w:t>
      </w:r>
      <w:r w:rsidRPr="0073389C">
        <w:t>ods. 1 písm. a) ZVO a nie postupmi uvedenými v tejto kapitole.</w:t>
      </w:r>
    </w:p>
    <w:p w14:paraId="7A55D336" w14:textId="5433F1C9" w:rsidR="009D7F63" w:rsidRPr="0073389C" w:rsidRDefault="009D7F63" w:rsidP="009D7F63">
      <w:pPr>
        <w:tabs>
          <w:tab w:val="left" w:pos="1014"/>
        </w:tabs>
        <w:spacing w:before="120" w:after="120" w:line="288" w:lineRule="auto"/>
        <w:jc w:val="both"/>
      </w:pPr>
    </w:p>
    <w:p w14:paraId="7A55D337" w14:textId="5F3C5D30"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14:paraId="150EC3BF" w14:textId="6C1DBB02" w:rsidR="00B32509" w:rsidRDefault="00B32509" w:rsidP="009D7F63">
      <w:pPr>
        <w:tabs>
          <w:tab w:val="left" w:pos="1014"/>
        </w:tabs>
        <w:spacing w:before="120" w:after="120" w:line="288" w:lineRule="auto"/>
        <w:jc w:val="both"/>
      </w:pPr>
    </w:p>
    <w:p w14:paraId="7A55D338" w14:textId="270C4293"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14:paraId="7A55D33A" w14:textId="25D6419E"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t.j.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6" w:history="1">
        <w:r w:rsidR="00D76DD9" w:rsidRPr="00B76EA0">
          <w:rPr>
            <w:rStyle w:val="Hypertextovprepojenie"/>
          </w:rPr>
          <w:t>vo.sep@minv.sk</w:t>
        </w:r>
      </w:hyperlink>
      <w:r w:rsidR="001D3CAE" w:rsidRPr="001E3C46">
        <w:rPr>
          <w:color w:val="EEECE1" w:themeColor="background2"/>
        </w:rPr>
        <w:t xml:space="preserve"> </w:t>
      </w:r>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14:paraId="7A55D33B" w14:textId="2739B79A"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14:paraId="7A55D33C" w14:textId="456D0BE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14:paraId="7A55D33D" w14:textId="6C454AE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lastRenderedPageBreak/>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61A3BB7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5 000 EUR upravuje Metodický pokyn CKO č. 14</w:t>
      </w:r>
      <w:r w:rsidR="005C00EC">
        <w:t xml:space="preserve"> </w:t>
      </w:r>
      <w:r w:rsidR="005C00EC" w:rsidRPr="005C00EC">
        <w:t>k zadávaniu zákaziek v hodnote nad 5 000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77777777" w:rsidR="009D7F63" w:rsidRPr="0073389C" w:rsidRDefault="009D7F63" w:rsidP="009D7F63">
      <w:pPr>
        <w:tabs>
          <w:tab w:val="left" w:pos="1014"/>
        </w:tabs>
        <w:spacing w:before="120" w:after="120" w:line="288" w:lineRule="auto"/>
        <w:jc w:val="both"/>
        <w:rPr>
          <w:b/>
        </w:rPr>
      </w:pPr>
      <w:r w:rsidRPr="0073389C">
        <w:rPr>
          <w:b/>
        </w:rPr>
        <w:t>Zákazky do 5 000 EUR</w:t>
      </w:r>
    </w:p>
    <w:p w14:paraId="7A55D341" w14:textId="036E6B8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6EBBAA05"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5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14:paraId="7A55D344" w14:textId="2CDF4799"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14:paraId="41AD9D3F" w14:textId="77777777" w:rsidR="005C00EC" w:rsidRDefault="005C00EC" w:rsidP="009D7F63">
      <w:pPr>
        <w:tabs>
          <w:tab w:val="left" w:pos="1014"/>
        </w:tabs>
        <w:spacing w:before="120" w:after="120" w:line="288" w:lineRule="auto"/>
        <w:jc w:val="both"/>
        <w:rPr>
          <w:b/>
        </w:rPr>
      </w:pP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0FCDF353" w14:textId="77777777" w:rsidR="00A57E12" w:rsidRDefault="00A57E12" w:rsidP="00A57E12">
      <w:pPr>
        <w:tabs>
          <w:tab w:val="left" w:pos="1014"/>
        </w:tabs>
        <w:spacing w:before="120" w:after="120" w:line="288" w:lineRule="auto"/>
        <w:jc w:val="both"/>
      </w:pPr>
    </w:p>
    <w:p w14:paraId="4145C51E" w14:textId="77777777" w:rsidR="00A57E12" w:rsidRDefault="00A57E12" w:rsidP="00A57E12">
      <w:pPr>
        <w:tabs>
          <w:tab w:val="left" w:pos="1014"/>
        </w:tabs>
        <w:spacing w:before="120" w:after="120" w:line="288" w:lineRule="auto"/>
        <w:jc w:val="both"/>
      </w:pPr>
    </w:p>
    <w:p w14:paraId="2CA7D8F4" w14:textId="77777777" w:rsidR="00A57E12" w:rsidRPr="00697E52" w:rsidRDefault="00A57E12" w:rsidP="00A57E12">
      <w:pPr>
        <w:tabs>
          <w:tab w:val="left" w:pos="1014"/>
        </w:tabs>
        <w:spacing w:before="120" w:after="120" w:line="288" w:lineRule="auto"/>
        <w:jc w:val="both"/>
        <w:rPr>
          <w:b/>
        </w:rPr>
      </w:pPr>
      <w:r w:rsidRPr="00697E52">
        <w:rPr>
          <w:b/>
        </w:rPr>
        <w:t>Kontrola čiastkových zákaziek zadávaných na základe rámcových dohôd</w:t>
      </w:r>
    </w:p>
    <w:p w14:paraId="74A1F3C2" w14:textId="77777777" w:rsidR="00A57E12" w:rsidRDefault="00A57E12" w:rsidP="00A57E12">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14:paraId="25D8BA58" w14:textId="46708DFF" w:rsidR="00A57E12" w:rsidRDefault="00A57E12" w:rsidP="00A57E12">
      <w:pPr>
        <w:tabs>
          <w:tab w:val="left" w:pos="1014"/>
        </w:tabs>
        <w:spacing w:before="120" w:after="120" w:line="288" w:lineRule="auto"/>
        <w:jc w:val="both"/>
      </w:pPr>
      <w:r>
        <w:t xml:space="preserve">Rámcové dohody sa podľa § </w:t>
      </w:r>
      <w:r w:rsidR="0058112B">
        <w:t xml:space="preserve">83 </w:t>
      </w:r>
      <w:r>
        <w:t xml:space="preserve">ods. 5 ZVO delia na rámcové dohody bez opätovného otvárania súťaže (tzv. uzavreté rámcové dohody) a s opätovným otváraním súťaže (tzv. otvorené rámcové dohody). </w:t>
      </w:r>
    </w:p>
    <w:p w14:paraId="2CFD5EE8" w14:textId="77777777" w:rsidR="00C12A2D" w:rsidRPr="00C12A2D" w:rsidRDefault="00C12A2D" w:rsidP="00C12A2D">
      <w:pPr>
        <w:tabs>
          <w:tab w:val="left" w:pos="1014"/>
        </w:tabs>
        <w:spacing w:before="120" w:after="120" w:line="288" w:lineRule="auto"/>
        <w:jc w:val="both"/>
      </w:pPr>
      <w:r w:rsidRPr="00C12A2D">
        <w:lastRenderedPageBreak/>
        <w:t>Nižšie uvedené členenie rámcových dohôd sa posudzuje podľa finančného limitu vzťahujúceho sa podľa ZVO na osobu, ktorá predmetné VO uskutočnila.</w:t>
      </w:r>
    </w:p>
    <w:p w14:paraId="6D2E3E5F" w14:textId="77777777" w:rsidR="00697E52" w:rsidRDefault="00697E52" w:rsidP="00A57E12">
      <w:pPr>
        <w:tabs>
          <w:tab w:val="left" w:pos="1014"/>
        </w:tabs>
        <w:spacing w:before="120" w:after="120" w:line="288" w:lineRule="auto"/>
        <w:jc w:val="both"/>
      </w:pPr>
    </w:p>
    <w:p w14:paraId="4F2B491B" w14:textId="77777777"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14:paraId="4AA05E22" w14:textId="77777777" w:rsidR="00A57E12" w:rsidRDefault="00A57E12" w:rsidP="00A57E12">
      <w:pPr>
        <w:tabs>
          <w:tab w:val="left" w:pos="1014"/>
        </w:tabs>
        <w:spacing w:before="120" w:after="120" w:line="288" w:lineRule="auto"/>
        <w:jc w:val="both"/>
      </w:pPr>
    </w:p>
    <w:p w14:paraId="05482994" w14:textId="77777777"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3C6FC378" w14:textId="77777777" w:rsidR="00A57E12" w:rsidRDefault="00A57E12" w:rsidP="00A57E12">
      <w:pPr>
        <w:tabs>
          <w:tab w:val="left" w:pos="1014"/>
        </w:tabs>
        <w:spacing w:before="120" w:after="120" w:line="288" w:lineRule="auto"/>
        <w:jc w:val="both"/>
      </w:pPr>
    </w:p>
    <w:p w14:paraId="26AAAEFB" w14:textId="573869C3" w:rsidR="00A57E12" w:rsidRPr="00697E52" w:rsidRDefault="00A57E12" w:rsidP="00697E5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rsidR="0058112B">
        <w:t>43 ods. 13 až 15</w:t>
      </w:r>
      <w:r w:rsidR="0058112B" w:rsidRPr="00697E52">
        <w:t xml:space="preserve"> </w:t>
      </w:r>
      <w:r w:rsidRPr="00697E52">
        <w:t xml:space="preserve">ZVO a § </w:t>
      </w:r>
      <w:r w:rsidR="0058112B">
        <w:t xml:space="preserve">83 </w:t>
      </w:r>
      <w:r w:rsidRPr="00697E52">
        <w:t>ZVO (najmä povinnosť uvádzania možnosti výpovede z dôvodov uvedených v predmetných ustanoveniach ZVO a pravidlá zadávania čiastkových zákaziek z rámcových dohôd).</w:t>
      </w:r>
    </w:p>
    <w:p w14:paraId="1A55D3BC" w14:textId="77777777" w:rsidR="00697E52" w:rsidRDefault="00697E52" w:rsidP="00A57E12">
      <w:pPr>
        <w:tabs>
          <w:tab w:val="left" w:pos="1014"/>
        </w:tabs>
        <w:spacing w:before="120" w:after="120" w:line="288" w:lineRule="auto"/>
        <w:jc w:val="both"/>
      </w:pPr>
    </w:p>
    <w:p w14:paraId="7D07AB98" w14:textId="4EFB43A2" w:rsidR="00A57E12" w:rsidRPr="00697E52" w:rsidRDefault="00A57E12" w:rsidP="009A78AB">
      <w:pPr>
        <w:pStyle w:val="Odsekzoznamu"/>
        <w:numPr>
          <w:ilvl w:val="0"/>
          <w:numId w:val="94"/>
        </w:numPr>
        <w:spacing w:before="120" w:after="120" w:line="288" w:lineRule="auto"/>
        <w:jc w:val="both"/>
        <w:rPr>
          <w:b/>
        </w:rPr>
      </w:pPr>
      <w:r w:rsidRPr="00697E52">
        <w:rPr>
          <w:b/>
        </w:rPr>
        <w:t>Uzavreté rámcové dohody</w:t>
      </w:r>
    </w:p>
    <w:p w14:paraId="5B1A3DA0" w14:textId="77777777" w:rsidR="005F5EA3" w:rsidRDefault="005F5EA3" w:rsidP="00A57E12">
      <w:pPr>
        <w:tabs>
          <w:tab w:val="left" w:pos="1014"/>
        </w:tabs>
        <w:spacing w:before="120" w:after="120" w:line="288" w:lineRule="auto"/>
        <w:jc w:val="both"/>
        <w:rPr>
          <w:b/>
        </w:rPr>
      </w:pPr>
    </w:p>
    <w:p w14:paraId="2A4EF34F" w14:textId="77777777" w:rsidR="00A57E12" w:rsidRPr="005F5EA3" w:rsidRDefault="00A57E12" w:rsidP="00A57E12">
      <w:pPr>
        <w:tabs>
          <w:tab w:val="left" w:pos="1014"/>
        </w:tabs>
        <w:spacing w:before="120" w:after="120" w:line="288" w:lineRule="auto"/>
        <w:jc w:val="both"/>
        <w:rPr>
          <w:b/>
        </w:rPr>
      </w:pPr>
      <w:r w:rsidRPr="005F5EA3">
        <w:rPr>
          <w:b/>
        </w:rPr>
        <w:t xml:space="preserve">Čiastková zmluva, ktorej hodnota je rovnaká alebo vyššia ako finančný limit nadlimitnej zákazky </w:t>
      </w:r>
    </w:p>
    <w:p w14:paraId="31D8F8BD" w14:textId="77777777" w:rsidR="00A57E12" w:rsidRDefault="00A57E12" w:rsidP="00A57E12">
      <w:pPr>
        <w:tabs>
          <w:tab w:val="left" w:pos="1014"/>
        </w:tabs>
        <w:spacing w:before="120" w:after="120" w:line="288" w:lineRule="auto"/>
        <w:jc w:val="both"/>
      </w:pPr>
      <w:r>
        <w:t>Poskytovateľ kontroluje postup zadávania čiastkových zákaziek z rámcovej dohody na základe dokumentácie predloženej prijímateľom vo fáze pred aj po uzatvorení čiastkovej zmluvy (resp. zadaní a akceptácii objednávky) s úspešným uchádzačom.</w:t>
      </w:r>
    </w:p>
    <w:p w14:paraId="6E4C6879"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w:t>
      </w:r>
    </w:p>
    <w:p w14:paraId="2E5F4236" w14:textId="77777777" w:rsidR="00A57E12" w:rsidRDefault="00A57E12" w:rsidP="00A57E12">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14:paraId="177BF008" w14:textId="407C8EA8" w:rsidR="00A57E12" w:rsidRDefault="00A57E12" w:rsidP="009A78AB">
      <w:pPr>
        <w:pStyle w:val="Odsekzoznamu"/>
        <w:numPr>
          <w:ilvl w:val="0"/>
          <w:numId w:val="95"/>
        </w:numPr>
        <w:tabs>
          <w:tab w:val="left" w:pos="1014"/>
        </w:tabs>
        <w:spacing w:before="120" w:after="120" w:line="288" w:lineRule="auto"/>
        <w:jc w:val="both"/>
      </w:pPr>
      <w:r>
        <w:t xml:space="preserve">čiastkové zmluvy (resp. objednávky) uzatvárané na základe rámcových dohôd bez opätovného otvárania súťaže a </w:t>
      </w:r>
    </w:p>
    <w:p w14:paraId="08B4114A" w14:textId="7A5DAD7F" w:rsidR="00A57E12" w:rsidRDefault="00A57E12" w:rsidP="009A78AB">
      <w:pPr>
        <w:pStyle w:val="Odsekzoznamu"/>
        <w:numPr>
          <w:ilvl w:val="0"/>
          <w:numId w:val="95"/>
        </w:numPr>
        <w:tabs>
          <w:tab w:val="left" w:pos="1014"/>
        </w:tabs>
        <w:spacing w:before="120" w:after="120" w:line="288" w:lineRule="auto"/>
        <w:jc w:val="both"/>
      </w:pPr>
      <w:r>
        <w:t xml:space="preserve">postup vedúci k uzatvoreniu čiastkových zmlúv na základe rámcovej dohody s jedným alebo s viacerými uchádzačmi. </w:t>
      </w:r>
    </w:p>
    <w:p w14:paraId="7F080810" w14:textId="77777777" w:rsidR="00A57E12" w:rsidRDefault="00A57E12" w:rsidP="00A57E12">
      <w:pPr>
        <w:tabs>
          <w:tab w:val="left" w:pos="1014"/>
        </w:tabs>
        <w:spacing w:before="120" w:after="120" w:line="288" w:lineRule="auto"/>
        <w:jc w:val="both"/>
      </w:pPr>
    </w:p>
    <w:p w14:paraId="722A5940"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p>
    <w:p w14:paraId="5DAEEDCD" w14:textId="77777777" w:rsidR="00A57E12" w:rsidRDefault="00A57E12" w:rsidP="00A57E12">
      <w:pPr>
        <w:tabs>
          <w:tab w:val="left" w:pos="1014"/>
        </w:tabs>
        <w:spacing w:before="120" w:after="120" w:line="288" w:lineRule="auto"/>
        <w:jc w:val="both"/>
      </w:pPr>
    </w:p>
    <w:p w14:paraId="1AE5AD90"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p>
    <w:p w14:paraId="5F9124E1" w14:textId="77777777" w:rsidR="00697E52" w:rsidRDefault="00697E52" w:rsidP="00A57E12">
      <w:pPr>
        <w:tabs>
          <w:tab w:val="left" w:pos="1014"/>
        </w:tabs>
        <w:spacing w:before="120" w:after="120" w:line="288" w:lineRule="auto"/>
        <w:jc w:val="both"/>
      </w:pPr>
    </w:p>
    <w:p w14:paraId="50928768" w14:textId="77777777" w:rsidR="00A57E12" w:rsidRPr="00697E52" w:rsidRDefault="00A57E12" w:rsidP="00A57E12">
      <w:pPr>
        <w:tabs>
          <w:tab w:val="left" w:pos="1014"/>
        </w:tabs>
        <w:spacing w:before="120" w:after="120" w:line="288" w:lineRule="auto"/>
        <w:jc w:val="both"/>
        <w:rPr>
          <w:b/>
        </w:rPr>
      </w:pPr>
      <w:r w:rsidRPr="00697E52">
        <w:rPr>
          <w:b/>
        </w:rPr>
        <w:lastRenderedPageBreak/>
        <w:t xml:space="preserve">Čiastková zmluva, ktorej hodnota je nižšia ako finančný limit nadlimitnej zákazky </w:t>
      </w:r>
    </w:p>
    <w:p w14:paraId="20617A53" w14:textId="77777777" w:rsidR="00A57E12" w:rsidRDefault="00A57E12" w:rsidP="00A57E12">
      <w:pPr>
        <w:tabs>
          <w:tab w:val="left" w:pos="1014"/>
        </w:tabs>
        <w:spacing w:before="120" w:after="120" w:line="288" w:lineRule="auto"/>
        <w:jc w:val="both"/>
      </w:pPr>
    </w:p>
    <w:p w14:paraId="569E77F3" w14:textId="77777777" w:rsidR="00A57E12" w:rsidRDefault="00A57E12" w:rsidP="00A57E12">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po uzatvorení čiastkovej zmluvy (resp. zadaní a akceptácii objednávky) s dodávateľom, pričom táto čiastková zmluva je už platná a  účinná.  </w:t>
      </w:r>
    </w:p>
    <w:p w14:paraId="17BC97E6"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w:t>
      </w:r>
    </w:p>
    <w:p w14:paraId="391C0608" w14:textId="77777777" w:rsidR="00A57E12" w:rsidRDefault="00A57E12" w:rsidP="00A57E12">
      <w:pPr>
        <w:tabs>
          <w:tab w:val="left" w:pos="1014"/>
        </w:tabs>
        <w:spacing w:before="120" w:after="120" w:line="288" w:lineRule="auto"/>
        <w:jc w:val="both"/>
      </w:pPr>
    </w:p>
    <w:p w14:paraId="03203295" w14:textId="77777777" w:rsidR="00A57E12" w:rsidRDefault="00A57E12" w:rsidP="00A57E12">
      <w:pPr>
        <w:tabs>
          <w:tab w:val="left" w:pos="1014"/>
        </w:tabs>
        <w:spacing w:before="120" w:after="120" w:line="288" w:lineRule="auto"/>
        <w:jc w:val="both"/>
      </w:pPr>
      <w:r>
        <w:t xml:space="preserve">Predmetom kontroly po podpise čiastkovej zmluvy s dodávateľom, vykonávanej Poskytovateľom sú: </w:t>
      </w:r>
    </w:p>
    <w:p w14:paraId="05413129" w14:textId="7FD7DB4A" w:rsidR="00A57E12" w:rsidRDefault="00A57E12" w:rsidP="009A78AB">
      <w:pPr>
        <w:pStyle w:val="Odsekzoznamu"/>
        <w:numPr>
          <w:ilvl w:val="0"/>
          <w:numId w:val="95"/>
        </w:numPr>
        <w:tabs>
          <w:tab w:val="left" w:pos="1014"/>
        </w:tabs>
        <w:spacing w:before="120" w:after="120" w:line="288" w:lineRule="auto"/>
        <w:jc w:val="both"/>
      </w:pPr>
      <w:r>
        <w:t xml:space="preserve">čiastkové zmluvy (resp. objednávky) uzatvárané na základe rámcových dohôd bez opätovného otvárania súťaže a </w:t>
      </w:r>
    </w:p>
    <w:p w14:paraId="310799C3" w14:textId="689B05BD" w:rsidR="00A57E12" w:rsidRDefault="00A57E12" w:rsidP="009A78AB">
      <w:pPr>
        <w:pStyle w:val="Odsekzoznamu"/>
        <w:numPr>
          <w:ilvl w:val="0"/>
          <w:numId w:val="95"/>
        </w:numPr>
        <w:tabs>
          <w:tab w:val="left" w:pos="1014"/>
        </w:tabs>
        <w:spacing w:before="120" w:after="120" w:line="288" w:lineRule="auto"/>
        <w:jc w:val="both"/>
      </w:pPr>
      <w:r>
        <w:t>postup vedúci k uzatvoreniu čiastkových zmlúv na základe rámcovej dohody s jedným alebo s viacerými uchádzačmi.</w:t>
      </w:r>
    </w:p>
    <w:p w14:paraId="0BA28A3A" w14:textId="77777777" w:rsidR="00A57E12" w:rsidRDefault="00A57E12" w:rsidP="00A57E12">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759D86BB" w14:textId="77777777" w:rsidR="00A57E12" w:rsidRDefault="00A57E12" w:rsidP="00A57E12">
      <w:pPr>
        <w:tabs>
          <w:tab w:val="left" w:pos="1014"/>
        </w:tabs>
        <w:spacing w:before="120" w:after="120" w:line="288" w:lineRule="auto"/>
        <w:jc w:val="both"/>
      </w:pPr>
    </w:p>
    <w:p w14:paraId="3746AA35" w14:textId="539B5614" w:rsidR="00A57E12" w:rsidRPr="00697E52" w:rsidRDefault="00A57E12" w:rsidP="009A78AB">
      <w:pPr>
        <w:pStyle w:val="Odsekzoznamu"/>
        <w:numPr>
          <w:ilvl w:val="0"/>
          <w:numId w:val="94"/>
        </w:numPr>
        <w:tabs>
          <w:tab w:val="left" w:pos="1014"/>
        </w:tabs>
        <w:spacing w:before="120" w:after="120" w:line="288" w:lineRule="auto"/>
        <w:jc w:val="both"/>
        <w:rPr>
          <w:b/>
        </w:rPr>
      </w:pPr>
      <w:r w:rsidRPr="00697E52">
        <w:rPr>
          <w:b/>
        </w:rPr>
        <w:t xml:space="preserve">Otvorené rámcové dohody </w:t>
      </w:r>
    </w:p>
    <w:p w14:paraId="2CFC95A3" w14:textId="77777777" w:rsidR="00A57E12" w:rsidRDefault="00A57E12" w:rsidP="00A57E12">
      <w:pPr>
        <w:tabs>
          <w:tab w:val="left" w:pos="1014"/>
        </w:tabs>
        <w:spacing w:before="120" w:after="120" w:line="288" w:lineRule="auto"/>
        <w:jc w:val="both"/>
      </w:pPr>
    </w:p>
    <w:p w14:paraId="710554A5" w14:textId="77777777" w:rsidR="00A57E12" w:rsidRDefault="00A57E12" w:rsidP="00A57E12">
      <w:pPr>
        <w:tabs>
          <w:tab w:val="left" w:pos="1014"/>
        </w:tabs>
        <w:spacing w:before="120" w:after="120" w:line="288" w:lineRule="auto"/>
        <w:jc w:val="both"/>
      </w:pPr>
      <w:r w:rsidRPr="00164E19">
        <w:rPr>
          <w:b/>
        </w:rPr>
        <w:t>Čiastková zmluva, ktorej hodnota je rovnaká alebo vyššia ako finančný limit nadlimitnej zákazky</w:t>
      </w:r>
      <w:r>
        <w:t xml:space="preserve"> </w:t>
      </w:r>
    </w:p>
    <w:p w14:paraId="748D3440" w14:textId="77777777" w:rsidR="00A57E12" w:rsidRDefault="00A57E12" w:rsidP="00A57E12">
      <w:pPr>
        <w:tabs>
          <w:tab w:val="left" w:pos="1014"/>
        </w:tabs>
        <w:spacing w:before="120" w:after="120" w:line="288" w:lineRule="auto"/>
        <w:jc w:val="both"/>
      </w:pPr>
    </w:p>
    <w:p w14:paraId="681A7442" w14:textId="77777777" w:rsidR="00A57E12" w:rsidRDefault="00A57E12" w:rsidP="00A57E12">
      <w:pPr>
        <w:tabs>
          <w:tab w:val="left" w:pos="1014"/>
        </w:tabs>
        <w:spacing w:before="120" w:after="120" w:line="288" w:lineRule="auto"/>
        <w:jc w:val="both"/>
      </w:pPr>
      <w:r>
        <w:t>Poskytovateľ kontroluje postup zadávania čiastkových zákaziek z rámcovej dohody na základe dokumentácie predloženej prijímateľom vo fáze pred aj po uzatvorení čiastkovej zmluvy (resp. zadaní a akceptácii objednávky) s úspešným uchádzačom.</w:t>
      </w:r>
    </w:p>
    <w:p w14:paraId="24EB4952"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14:paraId="71689B4A" w14:textId="404B552A" w:rsidR="00A57E12" w:rsidRDefault="00A57E12" w:rsidP="009A78AB">
      <w:pPr>
        <w:pStyle w:val="Odsekzoznamu"/>
        <w:numPr>
          <w:ilvl w:val="0"/>
          <w:numId w:val="95"/>
        </w:numPr>
        <w:tabs>
          <w:tab w:val="left" w:pos="1014"/>
        </w:tabs>
        <w:spacing w:before="120" w:after="120" w:line="288" w:lineRule="auto"/>
        <w:jc w:val="both"/>
      </w:pPr>
      <w:r>
        <w:t xml:space="preserve">čiastkové zmluvy (resp. objednávky) uzatvárané na základe rámcových dohôd s opätovným otváraním súťaže a </w:t>
      </w:r>
    </w:p>
    <w:p w14:paraId="551A512E" w14:textId="65228796" w:rsidR="00A57E12" w:rsidRDefault="00A57E12" w:rsidP="009A78AB">
      <w:pPr>
        <w:pStyle w:val="Odsekzoznamu"/>
        <w:numPr>
          <w:ilvl w:val="0"/>
          <w:numId w:val="95"/>
        </w:numPr>
        <w:tabs>
          <w:tab w:val="left" w:pos="1014"/>
        </w:tabs>
        <w:spacing w:before="120" w:after="120" w:line="288" w:lineRule="auto"/>
        <w:jc w:val="both"/>
      </w:pPr>
      <w:r>
        <w:t xml:space="preserve">postup vedúci k uzatvoreniu čiastkových zmlúv na základe rámcovej dohody. </w:t>
      </w:r>
    </w:p>
    <w:p w14:paraId="6DA92FBE" w14:textId="77777777" w:rsidR="00A57E12" w:rsidRDefault="00A57E12" w:rsidP="00A57E12">
      <w:pPr>
        <w:tabs>
          <w:tab w:val="left" w:pos="1014"/>
        </w:tabs>
        <w:spacing w:before="120" w:after="120" w:line="288" w:lineRule="auto"/>
        <w:jc w:val="both"/>
      </w:pPr>
    </w:p>
    <w:p w14:paraId="0E998AA8" w14:textId="77777777"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p>
    <w:p w14:paraId="3369019C" w14:textId="77777777" w:rsidR="00A57E12" w:rsidRDefault="00A57E12" w:rsidP="00A57E12">
      <w:pPr>
        <w:tabs>
          <w:tab w:val="left" w:pos="1014"/>
        </w:tabs>
        <w:spacing w:before="120" w:after="120" w:line="288" w:lineRule="auto"/>
        <w:jc w:val="both"/>
      </w:pPr>
    </w:p>
    <w:p w14:paraId="5E6F8873" w14:textId="77777777"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p>
    <w:p w14:paraId="77D28841" w14:textId="77777777" w:rsidR="00A57E12" w:rsidRDefault="00A57E12" w:rsidP="00A57E12">
      <w:pPr>
        <w:tabs>
          <w:tab w:val="left" w:pos="1014"/>
        </w:tabs>
        <w:spacing w:before="120" w:after="120" w:line="288" w:lineRule="auto"/>
        <w:jc w:val="both"/>
      </w:pPr>
    </w:p>
    <w:p w14:paraId="62C215B4" w14:textId="77777777" w:rsidR="00A57E12" w:rsidRDefault="00A57E12" w:rsidP="00A57E12">
      <w:pPr>
        <w:tabs>
          <w:tab w:val="left" w:pos="1014"/>
        </w:tabs>
        <w:spacing w:before="120" w:after="120" w:line="288" w:lineRule="auto"/>
        <w:jc w:val="both"/>
      </w:pPr>
      <w:r w:rsidRPr="00164E19">
        <w:rPr>
          <w:b/>
        </w:rPr>
        <w:lastRenderedPageBreak/>
        <w:t>Čiastková zmluva, ktorej hodnota je nižšia ako finančný limit nadlimitnej zákazky</w:t>
      </w:r>
      <w:r>
        <w:t xml:space="preserve"> </w:t>
      </w:r>
    </w:p>
    <w:p w14:paraId="4AC79067" w14:textId="77777777" w:rsidR="00A57E12" w:rsidRDefault="00A57E12" w:rsidP="00A57E12">
      <w:pPr>
        <w:tabs>
          <w:tab w:val="left" w:pos="1014"/>
        </w:tabs>
        <w:spacing w:before="120" w:after="120" w:line="288" w:lineRule="auto"/>
        <w:jc w:val="both"/>
      </w:pPr>
    </w:p>
    <w:p w14:paraId="64FB9C7A" w14:textId="77777777" w:rsidR="00A57E12" w:rsidRDefault="00A57E12" w:rsidP="00A57E12">
      <w:pPr>
        <w:tabs>
          <w:tab w:val="left" w:pos="1014"/>
        </w:tabs>
        <w:spacing w:before="120" w:after="120" w:line="288" w:lineRule="auto"/>
        <w:jc w:val="both"/>
      </w:pPr>
      <w:r>
        <w:t xml:space="preserve">Poskytovateľ kontroluje postup zadávania čiastkových zákaziek na základe rámcovej dohody na základe dokumentácie predloženej prijímateľom vo fáze po uzatvorení čiastkovej zmluvy (resp. zadaní a akceptácii objednávky) s dodávateľom, pričom táto čiastková zmluva je už platná a  účinná.  </w:t>
      </w:r>
    </w:p>
    <w:p w14:paraId="079764FF" w14:textId="77777777" w:rsidR="00A57E12" w:rsidRDefault="00A57E12" w:rsidP="00A57E12">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2D8BE3E4" w14:textId="62AA2872" w:rsidR="00A57E12" w:rsidRDefault="00A57E12" w:rsidP="00A57E12">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73389C" w:rsidRDefault="009D7F63" w:rsidP="009D7F63">
      <w:pPr>
        <w:pStyle w:val="Nadpis3"/>
        <w:ind w:left="567" w:firstLine="0"/>
        <w:rPr>
          <w:lang w:val="sk-SK"/>
        </w:rPr>
      </w:pPr>
      <w:bookmarkStart w:id="176" w:name="_Toc440372886"/>
      <w:bookmarkStart w:id="177" w:name="_Toc440636397"/>
      <w:r w:rsidRPr="0073389C">
        <w:rPr>
          <w:lang w:val="sk-SK"/>
        </w:rPr>
        <w:t>Zákazky nespadajúce pod zákon o verejnom obstarávaní</w:t>
      </w:r>
      <w:bookmarkEnd w:id="176"/>
      <w:bookmarkEnd w:id="177"/>
    </w:p>
    <w:p w14:paraId="7A55D364" w14:textId="2A3E39C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14:paraId="7A55D365" w14:textId="704F4F6D"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14:paraId="7A55D367" w14:textId="14907E36" w:rsidR="009D7F63" w:rsidRPr="0073389C" w:rsidRDefault="009D7F63" w:rsidP="009D7F63">
      <w:pPr>
        <w:tabs>
          <w:tab w:val="left" w:pos="1014"/>
        </w:tabs>
        <w:spacing w:before="120" w:after="120" w:line="288" w:lineRule="auto"/>
        <w:jc w:val="both"/>
      </w:pPr>
      <w:r w:rsidRPr="0073389C">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14:paraId="7A55D368" w14:textId="0175FBA6"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sa vzťahujú na všetky zákazky nespadajúce pod ZVO, ktoré budú spolufinancované z fondov EFRR, ESF, KF, ENRF a programy EÚS, bez ohľadu na skutočnosť, či ich zrealizoval prijímateľ ešte pred schválením ŽoNFP, alebo až po schválení tejto ŽoNFP.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14:paraId="7A55D369"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14:paraId="7A55D36A" w14:textId="77777777" w:rsidR="009D7F63" w:rsidRPr="0073389C" w:rsidRDefault="009D7F63" w:rsidP="009A78AB">
      <w:pPr>
        <w:pStyle w:val="Odsekzoznamu"/>
        <w:numPr>
          <w:ilvl w:val="0"/>
          <w:numId w:val="44"/>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14:paraId="7A55D36B" w14:textId="33A4D8F0"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186D526B" w:rsidR="00AA6A7C" w:rsidRDefault="00AA6A7C" w:rsidP="009D7F63">
      <w:pPr>
        <w:tabs>
          <w:tab w:val="left" w:pos="1014"/>
        </w:tabs>
        <w:spacing w:before="120" w:after="120" w:line="288" w:lineRule="auto"/>
        <w:jc w:val="both"/>
      </w:pPr>
      <w:r w:rsidRPr="00AA6A7C">
        <w:lastRenderedPageBreak/>
        <w:t>Pravidlá uvedené v tejto časti sa nevzťahujú na uzatváranie pracovných zmlúv, dohôd o prácach vykonávaných mimo pracovného pomeru alebo obdobného pracovného vzťahu v zmysle § 1 ods. 2 písm. e) ZVO.</w:t>
      </w:r>
    </w:p>
    <w:p w14:paraId="7A55D36C" w14:textId="1ECCBFD5" w:rsidR="009D7F63" w:rsidRPr="0073389C" w:rsidRDefault="009D7F63" w:rsidP="009D7F63">
      <w:pPr>
        <w:tabs>
          <w:tab w:val="left" w:pos="1014"/>
        </w:tabs>
        <w:spacing w:before="120" w:after="120" w:line="288" w:lineRule="auto"/>
        <w:jc w:val="both"/>
      </w:pPr>
      <w:r w:rsidRPr="0073389C">
        <w:t xml:space="preserve">Je potrebné, aby prijímateľ vykonal prieskum trhu. Prijímateľ osloví minimálne </w:t>
      </w:r>
      <w:r w:rsidR="003D6254">
        <w:t>4</w:t>
      </w:r>
      <w:r w:rsidR="003D6254" w:rsidRPr="0073389C">
        <w:t xml:space="preserve"> </w:t>
      </w:r>
      <w:r w:rsidRPr="0073389C">
        <w:t>potenciálnych dodávateľov, pričom stanoví lehotu na predkladanie ponúk</w:t>
      </w:r>
      <w:r w:rsidR="003D6254">
        <w:t xml:space="preserve"> primerane,</w:t>
      </w:r>
      <w:r w:rsidRPr="0073389C">
        <w:t xml:space="preserve"> </w:t>
      </w:r>
      <w:r w:rsidR="003D6254">
        <w:t xml:space="preserve">avšak </w:t>
      </w:r>
      <w:r w:rsidRPr="0073389C">
        <w:t xml:space="preserve">minimálne </w:t>
      </w:r>
      <w:r w:rsidR="003D6254">
        <w:t>3</w:t>
      </w:r>
      <w:r w:rsidR="003D6254" w:rsidRPr="0073389C">
        <w:t xml:space="preserve"> pracovn</w:t>
      </w:r>
      <w:r w:rsidR="003D6254">
        <w:t>é</w:t>
      </w:r>
      <w:r w:rsidR="003D6254" w:rsidRPr="0073389C">
        <w:t xml:space="preserve"> </w:t>
      </w:r>
      <w:r w:rsidRPr="0073389C">
        <w:t>dn</w:t>
      </w:r>
      <w:r w:rsidR="003D6254">
        <w:t>i</w:t>
      </w:r>
      <w:r w:rsidRPr="0073389C">
        <w:t xml:space="preserve">. Výzva na predloženie ponuky (príloha č. </w:t>
      </w:r>
      <w:r w:rsidR="001A6E82" w:rsidRPr="0073389C">
        <w:t>2</w:t>
      </w:r>
      <w:r w:rsidR="001A6E82">
        <w:t>4</w:t>
      </w:r>
      <w:r w:rsidR="001A6E82" w:rsidRPr="0073389C">
        <w:t xml:space="preserve"> </w:t>
      </w:r>
      <w:r w:rsidRPr="0073389C">
        <w:t>) obsahuje najmä:</w:t>
      </w:r>
    </w:p>
    <w:p w14:paraId="7A55D36D"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14:paraId="7A55D36E"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14:paraId="7A55D36F"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14:paraId="7A55D370"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14:paraId="7A55D371" w14:textId="763C7675" w:rsidR="009D7F63" w:rsidRPr="0073389C" w:rsidRDefault="00E8739A"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14:paraId="7A55D372" w14:textId="08994B83"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14:paraId="7A55D373" w14:textId="6A32E480"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14:paraId="7A55D374" w14:textId="77777777" w:rsidR="009D7F63" w:rsidRPr="0073389C" w:rsidRDefault="009D7F63" w:rsidP="009A78AB">
      <w:pPr>
        <w:pStyle w:val="Odsekzoznamu"/>
        <w:numPr>
          <w:ilvl w:val="0"/>
          <w:numId w:val="57"/>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14:paraId="7A55D375" w14:textId="3D74F3B8"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14:paraId="7A55D376" w14:textId="2F4A598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14:paraId="7A55D377" w14:textId="1B4C9A79"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14:paraId="7A55D378" w14:textId="172BD26E"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ex-ante kontrole a </w:t>
      </w:r>
      <w:r w:rsidR="00D642ED" w:rsidRPr="00D642ED">
        <w:rPr>
          <w:b/>
        </w:rPr>
        <w:t>po podpise zmluvy</w:t>
      </w:r>
      <w:r w:rsidR="00D642ED" w:rsidRPr="00D642ED">
        <w:t xml:space="preserve"> analogicky k následnej ex-post kontrole. Ak ponuka úspešného uchádzača je nižšia ako 5 000 EUR bez DPH, prijímateľ takúto zákazku predkladá na kontrolu VO až po podpise zmluvy s úspešným uchádzačom analogicky k postupu pri štandardnej ex-post kontrole</w:t>
      </w:r>
      <w:r w:rsidRPr="0073389C">
        <w:t xml:space="preserve">. </w:t>
      </w:r>
    </w:p>
    <w:p w14:paraId="7A55D379" w14:textId="076D9DF6"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14:paraId="7A55D37A"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14:paraId="7A55D37C" w14:textId="6CD0D4A1"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14:paraId="7A55D37D"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14:paraId="7A55D37E"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14:paraId="7A55D37F" w14:textId="77777777" w:rsidR="009D7F63" w:rsidRPr="0073389C" w:rsidRDefault="009D7F63" w:rsidP="009A78AB">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14:paraId="7A55D380" w14:textId="1351980C"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14:paraId="7A55D381" w14:textId="77777777"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14:paraId="7A55D382" w14:textId="4F14BD10"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(uvedené zdokladuje napr. predložením „print screenu“), </w:t>
      </w:r>
    </w:p>
    <w:p w14:paraId="7A55D383" w14:textId="77777777" w:rsidR="009D7F63" w:rsidRPr="0073389C" w:rsidRDefault="009D7F63" w:rsidP="009A78AB">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lastRenderedPageBreak/>
        <w:t>ďalšie relevantné doklady.</w:t>
      </w:r>
    </w:p>
    <w:p w14:paraId="25F3BB6B" w14:textId="77777777" w:rsidR="00D642ED" w:rsidRDefault="00D642ED" w:rsidP="009D7F63">
      <w:pPr>
        <w:autoSpaceDE w:val="0"/>
        <w:autoSpaceDN w:val="0"/>
        <w:adjustRightInd w:val="0"/>
        <w:spacing w:before="120" w:after="120" w:line="288" w:lineRule="auto"/>
        <w:jc w:val="both"/>
      </w:pPr>
      <w:r w:rsidRPr="00D642ED">
        <w:t>Pri zákazkách, v ktorých ponuka úspešného uchádzača je rovná alebo vyššia ako 5 000 EUR bez DPH, predkladá prijímateľ na druhú ex-ante kontrolu dokumentáciu, ktorá dokladuje vykonanie prieskumu trhu a 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zmluvy, vrátane výslednej zmluvy s dodávateľom, na štandartnú ex-post kontrolu poskytovateľovi najneskôr do 30 dní odo dňa podpisu tejto zmluvy oboma zmluvnými stranami. V prípade zmluvných vzťahov, ktoré už existovali pred momentom účinnosti zmluvy o NFP (resp. Rozhodnutia o schválení ŽoNFP), predkladá prijímateľ dokumentáciu na kontrolu VO najneskôr pred predložením prvej žiadosti o platbu obsahujúcej výdavky vychádzajúce z tejto zmluvy.</w:t>
      </w:r>
    </w:p>
    <w:p w14:paraId="7A55D385" w14:textId="3C42C83F" w:rsidR="009D7F63" w:rsidRDefault="009D7F63" w:rsidP="009D7F63">
      <w:pPr>
        <w:autoSpaceDE w:val="0"/>
        <w:autoSpaceDN w:val="0"/>
        <w:adjustRightInd w:val="0"/>
        <w:spacing w:before="120" w:after="120" w:line="288" w:lineRule="auto"/>
        <w:jc w:val="both"/>
      </w:pPr>
      <w:r w:rsidRPr="0073389C">
        <w:t xml:space="preserve">Poskytovateľ postupuje pri výkone </w:t>
      </w:r>
      <w:r w:rsidR="005F5EA3">
        <w:t xml:space="preserve">finančnej </w:t>
      </w:r>
      <w:r w:rsidRPr="0073389C">
        <w:t>kontroly analogicky vo vzťahu k druhej ex-ante kontrole a k štandardnej/následnej ex-post kontrole, v závislosti od hodnoty zákazky.</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14:paraId="7A55D387" w14:textId="6908E217" w:rsidR="009D7F63" w:rsidRPr="0073389C" w:rsidRDefault="00A62A29" w:rsidP="009D7F63">
      <w:pPr>
        <w:autoSpaceDE w:val="0"/>
        <w:autoSpaceDN w:val="0"/>
        <w:adjustRightInd w:val="0"/>
        <w:spacing w:before="120" w:after="120" w:line="288" w:lineRule="auto"/>
        <w:jc w:val="both"/>
      </w:pPr>
      <w:r w:rsidRPr="00A62A29">
        <w:t>V zmysle MP CKO č. 12 k zadávaniu zákaziek nespadajúcich pod zákon o verejnom obstarávaní</w:t>
      </w:r>
      <w:r>
        <w:t xml:space="preserve"> v</w:t>
      </w:r>
      <w:r w:rsidR="009D7F63" w:rsidRPr="0073389C">
        <w:t>nútorné obstarávanie („in-house contract“) predstavuje zákazku zadávanú medzi dvoma verejnými obstarávateľmi (alebo dvoma obstarávateľmi), pri ktorej verejný obstarávateľ využíva pri výkone zverených úloh vo verejnom záujme vlastné, technické a iné zdroje.</w:t>
      </w:r>
    </w:p>
    <w:p w14:paraId="7A55D388" w14:textId="5ABEF0E7" w:rsidR="009D7F63" w:rsidRPr="0073389C" w:rsidRDefault="009D7F63" w:rsidP="009D7F63">
      <w:pPr>
        <w:autoSpaceDE w:val="0"/>
        <w:autoSpaceDN w:val="0"/>
        <w:adjustRightInd w:val="0"/>
        <w:spacing w:before="120" w:after="120" w:line="288" w:lineRule="auto"/>
        <w:jc w:val="both"/>
      </w:pPr>
      <w:r w:rsidRPr="0073389C">
        <w:t xml:space="preserve">Pokiaľ by malo dôjsť medzi verejnými obstarávateľmi k </w:t>
      </w:r>
      <w:r w:rsidR="00A62A29">
        <w:t>realizácii</w:t>
      </w:r>
      <w:r w:rsidR="00A62A29" w:rsidRPr="0073389C">
        <w:t xml:space="preserve"> </w:t>
      </w:r>
      <w:r w:rsidRPr="0073389C">
        <w:t>zákazky s peňažným plnením (za odplatu) je pre posúdenie možnosti neaplikovania ZVO potrebné kumulatívne splniť nasledovné podmienky:</w:t>
      </w:r>
    </w:p>
    <w:p w14:paraId="7A55D389" w14:textId="520682CA" w:rsidR="009D7F63" w:rsidRPr="0073389C"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právnická osoba, ktorej je zadaná zákazka (ďalej len „subjekt“) je v</w:t>
      </w:r>
      <w:r w:rsidR="008F2E18">
        <w:t> </w:t>
      </w:r>
      <w:r w:rsidRPr="0073389C">
        <w:t>100</w:t>
      </w:r>
      <w:r w:rsidR="008F2E18">
        <w:t xml:space="preserve"> </w:t>
      </w:r>
      <w:r w:rsidRPr="0073389C">
        <w:t xml:space="preserve">% vlastníctve </w:t>
      </w:r>
      <w:r w:rsidR="00A62A29">
        <w:t>prijímateľa</w:t>
      </w:r>
      <w:r w:rsidRPr="0073389C">
        <w:t xml:space="preserve"> zadávajúceho zákazku (t.j. je vylúčený súkromný kapitál tretej strany),</w:t>
      </w:r>
    </w:p>
    <w:p w14:paraId="7A55D38A" w14:textId="5ED45EB1" w:rsidR="009D7F63" w:rsidRPr="0073389C"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 xml:space="preserve">verejný </w:t>
      </w:r>
      <w:r w:rsidR="00A62A29">
        <w:t>prijímateľ</w:t>
      </w:r>
      <w:r w:rsidR="00A62A29" w:rsidRPr="0073389C">
        <w:t xml:space="preserve"> </w:t>
      </w:r>
      <w:r w:rsidRPr="0073389C">
        <w:t>vykonáva nad subjektom  kontrolu podobnú kontrole, ktorú vykonáva nad vlastnými organizačnými zložkami,</w:t>
      </w:r>
    </w:p>
    <w:p w14:paraId="7A55D38B" w14:textId="144187F1" w:rsidR="009D7F63" w:rsidRPr="0073389C"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tento subjekt súčasne  vykonáva základnú  časť svojich činností pre</w:t>
      </w:r>
      <w:r w:rsidR="00A62A29" w:rsidRPr="00A62A29">
        <w:rPr>
          <w:rFonts w:cs="Arial"/>
          <w:szCs w:val="19"/>
        </w:rPr>
        <w:t xml:space="preserve"> </w:t>
      </w:r>
      <w:r w:rsidR="00A62A29" w:rsidRPr="00A62A29">
        <w:t>prijímateľa vykonávajúceho nad ním kontrolu podľa písm. b) tohto odseku</w:t>
      </w:r>
      <w:r w:rsidRPr="0073389C">
        <w:t>,</w:t>
      </w:r>
    </w:p>
    <w:p w14:paraId="7A55D38C" w14:textId="77777777" w:rsidR="009D7F63" w:rsidRPr="0073389C" w:rsidRDefault="009D7F63" w:rsidP="009A78AB">
      <w:pPr>
        <w:pStyle w:val="Odsekzoznamu"/>
        <w:numPr>
          <w:ilvl w:val="1"/>
          <w:numId w:val="53"/>
        </w:numPr>
        <w:tabs>
          <w:tab w:val="left" w:pos="284"/>
        </w:tabs>
        <w:autoSpaceDE w:val="0"/>
        <w:autoSpaceDN w:val="0"/>
        <w:adjustRightInd w:val="0"/>
        <w:spacing w:before="120" w:after="120" w:line="288" w:lineRule="auto"/>
        <w:ind w:left="567" w:hanging="283"/>
        <w:contextualSpacing w:val="0"/>
        <w:jc w:val="both"/>
      </w:pPr>
      <w:r w:rsidRPr="0073389C">
        <w:t>subjekt je povinný postupovať podľa ZVO pokiaľ ide o jeho vlastné obstarávanie.</w:t>
      </w:r>
    </w:p>
    <w:p w14:paraId="7A55D38D" w14:textId="3BF1B801"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 metodickom pokyne CKO č. 12</w:t>
      </w:r>
      <w:r w:rsidR="00A62A29">
        <w:t xml:space="preserve"> </w:t>
      </w:r>
      <w:r w:rsidR="00A62A29" w:rsidRPr="00A62A29">
        <w:t>k zadávaniu zákaziek nespadajúcich pod zákon o verejnom obstarávaní</w:t>
      </w:r>
      <w:r w:rsidRPr="0073389C">
        <w:t xml:space="preserve">. </w:t>
      </w:r>
    </w:p>
    <w:p w14:paraId="7A55D38E" w14:textId="36152241"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skutočností </w:t>
      </w:r>
      <w:r w:rsidR="00A62A29">
        <w:t xml:space="preserve">pri 100 %-nom vlastníctve subjektu </w:t>
      </w:r>
      <w:r w:rsidRPr="0073389C">
        <w:t xml:space="preserve">podľa kapitoly 4.1.1 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77777777" w:rsidR="009D7F63" w:rsidRPr="0073389C" w:rsidRDefault="009D7F63"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14:paraId="7A55D391" w14:textId="14D677F5" w:rsidR="009D7F63" w:rsidRDefault="001874BF" w:rsidP="009A78AB">
      <w:pPr>
        <w:pStyle w:val="Odsekzoznamu"/>
        <w:numPr>
          <w:ilvl w:val="0"/>
          <w:numId w:val="54"/>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lastRenderedPageBreak/>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9A78AB">
      <w:pPr>
        <w:pStyle w:val="Odsekzoznamu"/>
        <w:numPr>
          <w:ilvl w:val="1"/>
          <w:numId w:val="55"/>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9A78AB">
      <w:pPr>
        <w:pStyle w:val="Odsekzoznamu"/>
        <w:numPr>
          <w:ilvl w:val="0"/>
          <w:numId w:val="44"/>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46174288"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 </w:t>
      </w:r>
      <w:r w:rsidR="00367E6F" w:rsidRPr="00367E6F">
        <w:rPr>
          <w:b/>
        </w:rPr>
        <w:t>po podpise zmluvy</w:t>
      </w:r>
      <w:r w:rsidR="00367E6F" w:rsidRPr="00367E6F">
        <w:t xml:space="preserve"> analogicky k následnej ex-post kontrole. Ak ponuka úspešného uchádzača je nižšia ako 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22FF7E1B"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100 % vlastníctvo subjektu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BBF82D4"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14:paraId="7A55D39F" w14:textId="1C72DECE"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14:paraId="7A55D3A0" w14:textId="54FDEB43"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14:paraId="7A55D3A1" w14:textId="77777777"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preukázanie určenia hodnoty zákazky z pohľadu hospodárnosti v nadväznosti na povinnosť hospodárnosti vyplývajúcej zo zákona o finančnej kontrole a zo zákona o rozpočtových pravidlách,</w:t>
      </w:r>
    </w:p>
    <w:p w14:paraId="7A55D3A2" w14:textId="68F81C65"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w:t>
      </w:r>
      <w:r w:rsidRPr="0073389C">
        <w:lastRenderedPageBreak/>
        <w:t xml:space="preserve">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14:paraId="7A55D3A3" w14:textId="1271B38D" w:rsidR="009D7F63" w:rsidRPr="0073389C" w:rsidRDefault="009D7F63" w:rsidP="009A78AB">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dokumentáciu súvisiacu s postupom pri zadávaní vlastných potrieb subjektu v zmysle MP CKO č. 12</w:t>
      </w:r>
      <w:r w:rsidR="00367E6F" w:rsidRPr="00367E6F">
        <w:rPr>
          <w:rFonts w:cs="Arial"/>
          <w:szCs w:val="19"/>
        </w:rPr>
        <w:t xml:space="preserve"> </w:t>
      </w:r>
      <w:r w:rsidR="00367E6F" w:rsidRPr="00367E6F">
        <w:t>k zadávaniu zákaziek nespadajúcich pod zákon o verejnom obstarávaní</w:t>
      </w:r>
      <w:r w:rsidRPr="0073389C">
        <w:t xml:space="preserve"> nevyhnutných pre realizáciu činností v zmysle predmetu vnútorného obstarávania, ktoré sú financované z prostriedkov fondov EŠIF.</w:t>
      </w:r>
    </w:p>
    <w:p w14:paraId="7A55D3AD" w14:textId="1C373724" w:rsidR="009D7F63" w:rsidRPr="0073389C" w:rsidRDefault="00367E6F" w:rsidP="00AD3E78">
      <w:pPr>
        <w:autoSpaceDE w:val="0"/>
        <w:autoSpaceDN w:val="0"/>
        <w:adjustRightInd w:val="0"/>
        <w:spacing w:before="120" w:after="120" w:line="288" w:lineRule="auto"/>
        <w:ind w:left="284"/>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in-house zákaziek a horizontálnych zákaziek musia byť nižšie ako hodnota zákazky zistená prieskumom trhu</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A55D3B0" w14:textId="5840740A"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7A55D3B1" w14:textId="4BF96A3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14:paraId="7A55D3B2" w14:textId="3BB08138" w:rsidR="009D7F63" w:rsidRPr="0073389C" w:rsidRDefault="009D7F63" w:rsidP="009D7F63">
      <w:pPr>
        <w:pStyle w:val="Nadpis3"/>
        <w:ind w:left="567" w:firstLine="0"/>
        <w:rPr>
          <w:lang w:val="sk-SK"/>
        </w:rPr>
      </w:pPr>
      <w:r w:rsidRPr="0073389C">
        <w:rPr>
          <w:lang w:val="sk-SK"/>
        </w:rPr>
        <w:t xml:space="preserve"> </w:t>
      </w:r>
      <w:bookmarkStart w:id="178" w:name="_Toc440372887"/>
      <w:bookmarkStart w:id="179" w:name="_Toc440636398"/>
      <w:r w:rsidRPr="0073389C">
        <w:rPr>
          <w:lang w:val="sk-SK"/>
        </w:rPr>
        <w:t>Konflikt záujmov</w:t>
      </w:r>
      <w:bookmarkEnd w:id="178"/>
      <w:bookmarkEnd w:id="179"/>
    </w:p>
    <w:p w14:paraId="1459F1AC" w14:textId="77777777"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14:paraId="619D2644" w14:textId="59990BD4"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14:paraId="7A55D3B3" w14:textId="1E8D245C"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14:paraId="7A55D3B4" w14:textId="01C447FE"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(t.j. záujem odporujúci verejnému záujmu), ktorý možno vnímať ako ohrozenie nestrannosti a nezávislosti v súvislosti s daným postupom VO, sa týka v zmysle MP CKO č. 13 najmä:</w:t>
      </w:r>
    </w:p>
    <w:p w14:paraId="7A55D3B5" w14:textId="7272ACFF"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14:paraId="7A55D3B6" w14:textId="34639611"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14:paraId="7A55D3B7" w14:textId="6B80E583"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14:paraId="7A55D3B8" w14:textId="77777777" w:rsidR="009D7F63" w:rsidRPr="0073389C" w:rsidRDefault="009D7F63" w:rsidP="009A78AB">
      <w:pPr>
        <w:pStyle w:val="Odsekzoznamu"/>
        <w:numPr>
          <w:ilvl w:val="1"/>
          <w:numId w:val="49"/>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14:paraId="7A55D3B9"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lastRenderedPageBreak/>
        <w:t>V zmysle § 46 ods. 2, zákona o príspevku z EŠIF uvádzame nasledovný zoznam zainteresovaných osôb:</w:t>
      </w:r>
    </w:p>
    <w:p w14:paraId="7A55D3BA"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14:paraId="7A55D3BB"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14:paraId="7A55D3BC" w14:textId="026DC26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14:paraId="7A55D3BD"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14:paraId="7A55D3BE"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14:paraId="7A55D3BF"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14:paraId="7A55D3C0"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14:paraId="7A55D3C1" w14:textId="77777777" w:rsidR="009D7F63" w:rsidRPr="0073389C" w:rsidRDefault="009D7F63" w:rsidP="009A78AB">
      <w:pPr>
        <w:pStyle w:val="Odsekzoznamu"/>
        <w:numPr>
          <w:ilvl w:val="1"/>
          <w:numId w:val="50"/>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14:paraId="7A55D3C3"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897D42C"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14:paraId="7A55D3C5" w14:textId="77777777"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14:paraId="7A55D3C6" w14:textId="03E9B921"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77777777"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Prijímateľ zabezpečí v každej etape postupu verejného obstarávania (príprava, hodnotenie a ukončenie), aby osoba zodpovedná za 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2"/>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rovnaké meno, priezvisko, bydlisko, dátum narodenia, miesto podnikania/sídlo </w:t>
            </w:r>
            <w:r w:rsidRPr="0073389C">
              <w:lastRenderedPageBreak/>
              <w:t>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lastRenderedPageBreak/>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3"/>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04"/>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9A78AB">
            <w:pPr>
              <w:numPr>
                <w:ilvl w:val="0"/>
                <w:numId w:val="45"/>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9A78AB">
            <w:pPr>
              <w:numPr>
                <w:ilvl w:val="0"/>
                <w:numId w:val="45"/>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05"/>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9A78AB">
            <w:pPr>
              <w:keepNext/>
              <w:keepLines/>
              <w:numPr>
                <w:ilvl w:val="0"/>
                <w:numId w:val="46"/>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9A78AB">
            <w:pPr>
              <w:keepNext/>
              <w:keepLines/>
              <w:numPr>
                <w:ilvl w:val="0"/>
                <w:numId w:val="46"/>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9A78AB">
            <w:pPr>
              <w:pStyle w:val="Odsekzoznamu"/>
              <w:numPr>
                <w:ilvl w:val="0"/>
                <w:numId w:val="46"/>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w:t>
      </w:r>
      <w:r w:rsidRPr="0073389C">
        <w:lastRenderedPageBreak/>
        <w:t>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56"/>
        <w:gridCol w:w="5270"/>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771817">
            <w:pPr>
              <w:pStyle w:val="Odsekzoznamu"/>
              <w:keepNext/>
              <w:keepLines/>
              <w:numPr>
                <w:ilvl w:val="0"/>
                <w:numId w:val="47"/>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771817">
            <w:pPr>
              <w:pStyle w:val="Odsekzoznamu"/>
              <w:keepNext/>
              <w:keepLines/>
              <w:numPr>
                <w:ilvl w:val="0"/>
                <w:numId w:val="47"/>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lastRenderedPageBreak/>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14:paraId="7A55D441"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771817">
            <w:pPr>
              <w:pStyle w:val="Odsekzoznamu"/>
              <w:numPr>
                <w:ilvl w:val="0"/>
                <w:numId w:val="47"/>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771817">
            <w:pPr>
              <w:pStyle w:val="Odsekzoznamu"/>
              <w:numPr>
                <w:ilvl w:val="0"/>
                <w:numId w:val="47"/>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771817">
            <w:pPr>
              <w:pStyle w:val="Odsekzoznamu"/>
              <w:numPr>
                <w:ilvl w:val="0"/>
                <w:numId w:val="47"/>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771817">
            <w:pPr>
              <w:pStyle w:val="Odsekzoznamu"/>
              <w:numPr>
                <w:ilvl w:val="0"/>
                <w:numId w:val="47"/>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A55D465" w14:textId="755D6C1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lastRenderedPageBreak/>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14:paraId="7A55D466" w14:textId="29E519DA"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14:paraId="7A55D467" w14:textId="77777777"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0" w:name="_Toc410907878"/>
      <w:bookmarkStart w:id="181" w:name="_Toc440372888"/>
      <w:bookmarkStart w:id="182" w:name="_Toc440636399"/>
      <w:r w:rsidRPr="0073389C">
        <w:rPr>
          <w:lang w:val="sk-SK"/>
        </w:rPr>
        <w:t>Informačný systém (ITMS2014+)</w:t>
      </w:r>
      <w:bookmarkEnd w:id="180"/>
      <w:bookmarkEnd w:id="181"/>
      <w:bookmarkEnd w:id="182"/>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06"/>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w:t>
      </w:r>
      <w:r w:rsidRPr="0073389C">
        <w:lastRenderedPageBreak/>
        <w:t>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3" w:name="_Toc440372889"/>
      <w:bookmarkStart w:id="184" w:name="_Toc440636400"/>
      <w:r w:rsidRPr="0073389C">
        <w:rPr>
          <w:lang w:val="sk-SK"/>
        </w:rPr>
        <w:t>Informovanie a komunikácia</w:t>
      </w:r>
      <w:bookmarkEnd w:id="183"/>
      <w:bookmarkEnd w:id="184"/>
    </w:p>
    <w:p w14:paraId="7A55D477" w14:textId="77777777"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7" w:history="1">
        <w:r w:rsidRPr="0073389C">
          <w:rPr>
            <w:rStyle w:val="Hypertextovprepojenie"/>
          </w:rPr>
          <w:t>www.opevs.eu</w:t>
        </w:r>
      </w:hyperlink>
      <w:r w:rsidRPr="0073389C">
        <w:rPr>
          <w:rStyle w:val="Hypertextovprepojenie"/>
        </w:rPr>
        <w:t>.</w:t>
      </w:r>
      <w:r w:rsidRPr="0073389C">
        <w:t xml:space="preserve"> </w:t>
      </w:r>
    </w:p>
    <w:p w14:paraId="7A55D478" w14:textId="77777777" w:rsidR="009D7F63" w:rsidRPr="0073389C" w:rsidRDefault="009D7F63" w:rsidP="009D7F63">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t xml:space="preserve">Prijatím nenávratného finančného príspevku prijímateľ súčasne vyjadruje súhlas so začlenením do zoznamu prijímateľov pre účely informovania a komunikácie. Prijímateľ zároveň súhlasí so zverejnením </w:t>
      </w:r>
      <w:r w:rsidRPr="0073389C">
        <w:lastRenderedPageBreak/>
        <w:t>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5" w:name="_Toc440372890"/>
      <w:bookmarkStart w:id="186" w:name="_Toc440636401"/>
      <w:bookmarkStart w:id="187" w:name="_Toc410907880"/>
      <w:r w:rsidRPr="0073389C">
        <w:rPr>
          <w:rFonts w:ascii="Arial" w:hAnsi="Arial"/>
          <w:lang w:val="sk-SK"/>
        </w:rPr>
        <w:lastRenderedPageBreak/>
        <w:t>Kontrola a overovanie oprávnenosti výdavkov</w:t>
      </w:r>
      <w:bookmarkEnd w:id="185"/>
      <w:bookmarkEnd w:id="186"/>
      <w:r w:rsidRPr="0073389C">
        <w:rPr>
          <w:rFonts w:ascii="Arial" w:hAnsi="Arial"/>
          <w:lang w:val="sk-SK"/>
        </w:rPr>
        <w:t xml:space="preserve"> </w:t>
      </w:r>
      <w:bookmarkEnd w:id="187"/>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88" w:name="_Toc410907881"/>
      <w:bookmarkStart w:id="189" w:name="_Toc440372891"/>
      <w:bookmarkStart w:id="190" w:name="_Toc440636402"/>
      <w:r w:rsidRPr="0073389C">
        <w:rPr>
          <w:lang w:val="sk-SK"/>
        </w:rPr>
        <w:t xml:space="preserve">Administratívna </w:t>
      </w:r>
      <w:r w:rsidR="00F17DE9">
        <w:rPr>
          <w:lang w:val="sk-SK"/>
        </w:rPr>
        <w:t xml:space="preserve">finančná </w:t>
      </w:r>
      <w:r w:rsidRPr="0073389C">
        <w:rPr>
          <w:lang w:val="sk-SK"/>
        </w:rPr>
        <w:t>kontrola</w:t>
      </w:r>
      <w:bookmarkEnd w:id="188"/>
      <w:bookmarkEnd w:id="189"/>
      <w:bookmarkEnd w:id="190"/>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6154E5B8"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alebo finančnou kontrolou na mieste</w:t>
      </w:r>
      <w:r w:rsidR="009D7F63" w:rsidRPr="0073389C">
        <w:t xml:space="preserve"> a </w:t>
      </w:r>
      <w:r w:rsidRPr="0073389C">
        <w:t>zabezpečiť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zmluvou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0871FB65"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6855D6CD"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preveriť</w:t>
      </w:r>
      <w:r w:rsidR="009D7F63" w:rsidRPr="0073389C">
        <w:t xml:space="preserve">̌ </w:t>
      </w:r>
      <w:r w:rsidRPr="0073389C">
        <w:t>opodstatnenosť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7A55D4A4"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preukázateľnej matematickej správnosti výpočtu výdavkov, </w:t>
      </w:r>
    </w:p>
    <w:p w14:paraId="7A55D4A5"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finančnej správnosti výdavkov vo vzťahu k rozpočtu projektu (t.j. vo vzťahu k čerpaniu rozpočtu a v prípade, že je rozpočet stanovený v jednotkových cenách aj kontrola neprekročenia jednotkovej ceny), </w:t>
      </w:r>
    </w:p>
    <w:p w14:paraId="7A55D4A6"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preukázateľnosti a reálnosti predloženia dokladov súvisiacich s deklarovanými výdavkami – napr. doklady súvisiace s dodaním tovaru, poskytnutím služby, vykonaním prác (napr. účtovné doklady - faktúry, pokladničné bloky, dodacie listy v prípadoch, že dodanie tovaru nie je zdokladované priamo na faktúre, dodávateľsko-odberateľské zmluvy a pod.), </w:t>
      </w:r>
    </w:p>
    <w:p w14:paraId="7A55D4A7" w14:textId="22891C5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uchádzačom v zmysle § 5a zákona o slobode informácií (aplikuje sa v prípade, ak toto overenie nebolo predmetom </w:t>
      </w:r>
      <w:r w:rsidR="003C2E2F">
        <w:t xml:space="preserve">finančnej </w:t>
      </w:r>
      <w:r w:rsidRPr="0073389C">
        <w:t xml:space="preserve"> kontroly VO alebo obstarávania), </w:t>
      </w:r>
    </w:p>
    <w:p w14:paraId="7A55D4A8"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preukázateľnosti reálneho vyplatenia výdavku prijímateľom (napr. potvrdenie výdavkovými pokladničnými blokmi, výpismi z bankového účtu)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21AEFA6"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aplikovania výpočtu paušálnej sadzby s</w:t>
      </w:r>
      <w:r w:rsidR="00601351">
        <w:t xml:space="preserve"> </w:t>
      </w:r>
      <w:r w:rsidRPr="0073389C">
        <w:t xml:space="preserve">pravidlami výpočtu stanovenými poskytovateľom v riadiacej dokumentácii v prípade využitia zjednodušeného vykazovania výdavkov formou paušálnej sadzby, </w:t>
      </w:r>
    </w:p>
    <w:p w14:paraId="7A55D4AB"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nárokovanej paušálnej sumy s dosiahnutými výstupmi/výsledkami/cieľmi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merateľných ukazovateľov projektu v zmysle zmluvy o NFP (ak je relevantné), </w:t>
      </w:r>
    </w:p>
    <w:p w14:paraId="7A55D4AF"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prijímateľa v rámci aj mimo daného OP, iných OP a iných programov EÚ, iných finančných nástrojov alebo vnútroštátnych programov a v iných programových obdobiach, </w:t>
      </w:r>
    </w:p>
    <w:p w14:paraId="7A55D4B0"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prijímateľom na odstránenie nedostatkov zistených pri inej kontrole alebo audite vykonaných do času ukončenia kontroly deklarovaných výdavkov (ak je relevantné), </w:t>
      </w:r>
    </w:p>
    <w:p w14:paraId="7A55D4B1"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finančnej opravy a pod., </w:t>
      </w:r>
    </w:p>
    <w:p w14:paraId="7A55D4B2"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skutočností stanovených poskytovateľom. </w:t>
      </w:r>
    </w:p>
    <w:p w14:paraId="7A55D4B3" w14:textId="77777777"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prijímateľa deklarované v ŽoP musia spĺňať najmä tieto podmienky: </w:t>
      </w:r>
    </w:p>
    <w:p w14:paraId="7A55D4B4"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rozpočtových pravidlách, zákon o verejnom obstarávaní, zákon o štátnej pomoci, zákonník práce, zákon o slobodnom prístupe k informáciám); </w:t>
      </w:r>
    </w:p>
    <w:p w14:paraId="7A55D4B5"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neoddeliteľnú súčasť výzvy, podmienok zmluvy o NFP; </w:t>
      </w:r>
    </w:p>
    <w:p w14:paraId="7A55D4B6"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časovej následnosti aktivít projektu, sú plne v súlade s cieľmi projektu a prispievajú k dosiahnutiu plánovaných cieľov projektu; </w:t>
      </w:r>
    </w:p>
    <w:p w14:paraId="7A55D4B7"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čase a zodpovedá </w:t>
      </w:r>
      <w:r w:rsidRPr="0073389C">
        <w:lastRenderedPageBreak/>
        <w:t>potrebám projektu;</w:t>
      </w:r>
    </w:p>
    <w:p w14:paraId="7A55D4B8" w14:textId="7777777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spĺňa podmienky hospodárnosti, efektívnosti, účelnosti a účinnosti; </w:t>
      </w:r>
      <w:r w:rsidRPr="0073389C">
        <w:rPr>
          <w:color w:val="FFFFFF"/>
        </w:rPr>
        <w:t xml:space="preserve">x. 2014 </w:t>
      </w:r>
    </w:p>
    <w:p w14:paraId="574DC727" w14:textId="78036E48"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výdavky musia byť identifikovateľné a preukázateľné a musia byť doložené účtovnými dokladmi, ktoré sú riadne evidované u prijímateľa v súlade s platnou legislatívou; výdavok je preukázaný faktúrami alebo inými účtovnými dokladmi rovnocennej preukaznej hodnoty, ktoré sú riadne evidované v účtovníctve prijímateľa v súlade s platnými všeobecne záväznými právnymi predpismi a zmluvou o NFP. Preukázanie výdavkov faktúrami alebo účtovnými dokladmi rovnocennej preukaznej hodnoty sa nevzťahuje na výdavky vykazované zjednodušeným spôsobom vykazovania</w:t>
      </w:r>
      <w:r w:rsidR="00A11D9F">
        <w:rPr>
          <w:rFonts w:ascii="Arial" w:hAnsi="Arial" w:cs="Arial"/>
          <w:sz w:val="19"/>
          <w:szCs w:val="19"/>
          <w:lang w:val="sk-SK"/>
        </w:rPr>
        <w:t>.</w:t>
      </w:r>
    </w:p>
    <w:p w14:paraId="7A55D4BA" w14:textId="281277C9"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prijímateľovi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pričom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nahradiť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1" w:name="_Toc410907882"/>
      <w:bookmarkStart w:id="192" w:name="_Toc440372892"/>
      <w:bookmarkStart w:id="193" w:name="_Toc440636403"/>
      <w:r>
        <w:rPr>
          <w:lang w:val="sk-SK"/>
        </w:rPr>
        <w:t>Finančná k</w:t>
      </w:r>
      <w:r w:rsidR="009D7F63" w:rsidRPr="0073389C">
        <w:rPr>
          <w:lang w:val="sk-SK"/>
        </w:rPr>
        <w:t>ontrola na mieste</w:t>
      </w:r>
      <w:bookmarkEnd w:id="191"/>
      <w:bookmarkEnd w:id="192"/>
      <w:bookmarkEnd w:id="193"/>
      <w:r w:rsidR="009D7F63" w:rsidRPr="0073389C">
        <w:rPr>
          <w:lang w:val="sk-SK"/>
        </w:rPr>
        <w:tab/>
      </w:r>
      <w:r w:rsidR="009D7F63" w:rsidRPr="0073389C">
        <w:rPr>
          <w:lang w:val="sk-SK"/>
        </w:rPr>
        <w:tab/>
      </w:r>
    </w:p>
    <w:p w14:paraId="7A55D4BD" w14:textId="389B064A"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 NFP (napr. účtovníctvo prijímateľa, archivácia dokumentácie</w:t>
      </w:r>
      <w:r w:rsidR="008545F0">
        <w:rPr>
          <w:rFonts w:ascii="Arial" w:hAnsi="Arial" w:cs="Arial"/>
          <w:sz w:val="19"/>
          <w:szCs w:val="19"/>
          <w:lang w:val="sk-SK"/>
        </w:rPr>
        <w:t>, publicita, súlad s HP</w:t>
      </w:r>
      <w:r w:rsidRPr="0073389C">
        <w:rPr>
          <w:rFonts w:ascii="Arial" w:hAnsi="Arial" w:cs="Arial"/>
          <w:sz w:val="19"/>
          <w:szCs w:val="19"/>
          <w:lang w:val="sk-SK"/>
        </w:rPr>
        <w:t>), v závislosti od predmetu kontroly.</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7A55D4C7" w14:textId="585E2F0B"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oprávnení v nevyhnutnom rozsahu za podmienok ustanovených v osobitných predpisoch: </w:t>
      </w:r>
    </w:p>
    <w:p w14:paraId="7A55D4C8" w14:textId="2E0FB4C2"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Pr>
          <w:rFonts w:cs="Arial"/>
          <w:color w:val="auto"/>
          <w:szCs w:val="19"/>
          <w:lang w:val="sk-SK" w:eastAsia="sk-SK"/>
        </w:rPr>
        <w:t xml:space="preserve"> a odoberať ich mimo priestorov kontrolovanej osoby, ak ich poskytnutiu nebráni osobitný predpis</w:t>
      </w:r>
      <w:r w:rsidRPr="0025055A">
        <w:rPr>
          <w:rFonts w:cs="Arial"/>
          <w:color w:val="auto"/>
          <w:szCs w:val="19"/>
          <w:lang w:val="sk-SK" w:eastAsia="sk-SK"/>
        </w:rPr>
        <w:t>,</w:t>
      </w:r>
      <w:r w:rsidR="009D7F63" w:rsidRPr="0073389C">
        <w:rPr>
          <w:rFonts w:cs="Arial"/>
          <w:szCs w:val="19"/>
          <w:lang w:val="sk-SK"/>
        </w:rPr>
        <w:t xml:space="preserve"> </w:t>
      </w:r>
    </w:p>
    <w:p w14:paraId="7A55D4C9" w14:textId="1F5A01ED"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Pr>
          <w:rFonts w:cs="Arial"/>
          <w:color w:val="auto"/>
          <w:szCs w:val="19"/>
          <w:lang w:val="sk-SK" w:eastAsia="sk-SK"/>
        </w:rPr>
        <w:t>prijímateľa</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2F18941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Pr>
          <w:rFonts w:cs="Arial"/>
          <w:color w:val="auto"/>
          <w:szCs w:val="19"/>
          <w:lang w:val="sk-SK" w:eastAsia="sk-SK"/>
        </w:rPr>
        <w:t>prijímateľa</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povinní: </w:t>
      </w:r>
    </w:p>
    <w:p w14:paraId="7A55D4D1" w14:textId="7CA91CD1"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predmet a termín začatia </w:t>
      </w:r>
      <w:r w:rsidR="00FA0730">
        <w:rPr>
          <w:rFonts w:cs="Arial"/>
          <w:szCs w:val="19"/>
          <w:lang w:val="sk-SK"/>
        </w:rPr>
        <w:t xml:space="preserve">finančnej </w:t>
      </w:r>
      <w:r w:rsidRPr="0073389C">
        <w:rPr>
          <w:rFonts w:cs="Arial"/>
          <w:szCs w:val="19"/>
          <w:lang w:val="sk-SK"/>
        </w:rPr>
        <w:t xml:space="preserve">kontroly na mieste; ak by oznámením o začatí </w:t>
      </w:r>
      <w:r w:rsidR="00FA0730">
        <w:rPr>
          <w:rFonts w:cs="Arial"/>
          <w:szCs w:val="19"/>
          <w:lang w:val="sk-SK"/>
        </w:rPr>
        <w:t xml:space="preserve">finančnej </w:t>
      </w:r>
      <w:r w:rsidRPr="0073389C">
        <w:rPr>
          <w:rFonts w:cs="Arial"/>
          <w:szCs w:val="19"/>
          <w:lang w:val="sk-SK"/>
        </w:rPr>
        <w:t xml:space="preserve">kontroly na mieste mohlo dôjsť k zmareniu </w:t>
      </w:r>
      <w:r w:rsidR="00FA0730">
        <w:rPr>
          <w:rFonts w:cs="Arial"/>
          <w:szCs w:val="19"/>
          <w:lang w:val="sk-SK"/>
        </w:rPr>
        <w:t xml:space="preserve">finančnej </w:t>
      </w:r>
      <w:r w:rsidRPr="0073389C">
        <w:rPr>
          <w:rFonts w:cs="Arial"/>
          <w:szCs w:val="19"/>
          <w:lang w:val="sk-SK"/>
        </w:rPr>
        <w:t xml:space="preserve">kontroly na mieste, sú povinní oznámenie urobiť najneskôr pri začatí fyzického výkonu </w:t>
      </w:r>
      <w:r w:rsidR="00FA0730">
        <w:rPr>
          <w:rFonts w:cs="Arial"/>
          <w:szCs w:val="19"/>
          <w:lang w:val="sk-SK"/>
        </w:rPr>
        <w:t xml:space="preserve">finančnej </w:t>
      </w:r>
      <w:r w:rsidRPr="0073389C">
        <w:rPr>
          <w:rFonts w:cs="Arial"/>
          <w:szCs w:val="19"/>
          <w:lang w:val="sk-SK"/>
        </w:rPr>
        <w:t xml:space="preserve">kontroly na mieste. Oznámenie sa vykoná prostredníctvom oznámenia o začatí </w:t>
      </w:r>
      <w:r w:rsidR="00FA0730">
        <w:rPr>
          <w:rFonts w:cs="Arial"/>
          <w:szCs w:val="19"/>
          <w:lang w:val="sk-SK"/>
        </w:rPr>
        <w:t xml:space="preserve">finančnej </w:t>
      </w:r>
      <w:r w:rsidRPr="0073389C">
        <w:rPr>
          <w:rFonts w:cs="Arial"/>
          <w:szCs w:val="19"/>
          <w:lang w:val="sk-SK"/>
        </w:rPr>
        <w:t>kontroly na mieste</w:t>
      </w:r>
      <w:r w:rsidR="00BA2CE2">
        <w:rPr>
          <w:rFonts w:cs="Arial"/>
          <w:szCs w:val="19"/>
          <w:lang w:val="sk-SK"/>
        </w:rPr>
        <w:t>,</w:t>
      </w:r>
      <w:r w:rsidR="00BA2CE2" w:rsidRPr="0073389C">
        <w:rPr>
          <w:rFonts w:cs="Arial"/>
          <w:szCs w:val="19"/>
          <w:lang w:val="sk-SK"/>
        </w:rPr>
        <w:t xml:space="preserve"> </w:t>
      </w:r>
    </w:p>
    <w:p w14:paraId="7A55D4D2" w14:textId="5D36FD36"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FA0730">
        <w:rPr>
          <w:rFonts w:cs="Arial"/>
          <w:szCs w:val="19"/>
          <w:lang w:val="sk-SK"/>
        </w:rPr>
        <w:t xml:space="preserve">písomným </w:t>
      </w:r>
      <w:r w:rsidRPr="0073389C">
        <w:rPr>
          <w:rFonts w:cs="Arial"/>
          <w:szCs w:val="19"/>
          <w:lang w:val="sk-SK"/>
        </w:rPr>
        <w:t xml:space="preserve">poverením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umožniť 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0D8F5020"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 xml:space="preserve">súvisiacich s finančnou kontrolou na mieste </w:t>
      </w:r>
      <w:r w:rsidR="009D7F63" w:rsidRPr="0073389C">
        <w:rPr>
          <w:rFonts w:cs="Arial"/>
          <w:szCs w:val="19"/>
          <w:lang w:val="sk-SK"/>
        </w:rPr>
        <w:t>mimo priestorov prijímateľa alebo tretej osoby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zmluvou o NFP)</w:t>
      </w:r>
      <w:r w:rsidR="009D7F63" w:rsidRPr="0073389C">
        <w:rPr>
          <w:rFonts w:cs="Arial"/>
          <w:szCs w:val="19"/>
          <w:lang w:val="sk-SK"/>
        </w:rPr>
        <w:t xml:space="preserve">; tieto veci poskytovateľ vráti bezodkladne tomu, komu sa odobrali, ak nie sú potrebné na ďalší výkon </w:t>
      </w:r>
      <w:r w:rsidR="00303DE5">
        <w:rPr>
          <w:rFonts w:cs="Arial"/>
          <w:szCs w:val="19"/>
          <w:lang w:val="sk-SK"/>
        </w:rPr>
        <w:t xml:space="preserve">finančnej </w:t>
      </w:r>
      <w:r w:rsidR="009D7F63" w:rsidRPr="0073389C">
        <w:rPr>
          <w:rFonts w:cs="Arial"/>
          <w:szCs w:val="19"/>
          <w:lang w:val="sk-SK"/>
        </w:rPr>
        <w:t xml:space="preserve">kontroly na mieste alebo </w:t>
      </w:r>
      <w:r w:rsidR="00303DE5">
        <w:rPr>
          <w:rFonts w:cs="Arial"/>
          <w:szCs w:val="19"/>
          <w:lang w:val="sk-SK"/>
        </w:rPr>
        <w:t xml:space="preserve">ak nie sú potrebné na konanie podľa trestného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157844DB"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v</w:t>
      </w:r>
      <w:r w:rsidR="00303DE5">
        <w:rPr>
          <w:rFonts w:cs="Arial"/>
          <w:szCs w:val="19"/>
          <w:lang w:val="sk-SK"/>
        </w:rPr>
        <w:t> návrhu čiastkovej správy/</w:t>
      </w:r>
      <w:r w:rsidRPr="0073389C">
        <w:rPr>
          <w:rFonts w:cs="Arial"/>
          <w:szCs w:val="19"/>
          <w:lang w:val="sk-SK"/>
        </w:rPr>
        <w:t>návrhu správy</w:t>
      </w:r>
      <w:r w:rsidR="008545F0">
        <w:rPr>
          <w:rFonts w:cs="Arial"/>
          <w:szCs w:val="19"/>
          <w:lang w:val="sk-SK"/>
        </w:rPr>
        <w:t xml:space="preserve"> z kontroly na mieste</w:t>
      </w:r>
      <w:r w:rsidRPr="0073389C">
        <w:rPr>
          <w:rFonts w:cs="Arial"/>
          <w:szCs w:val="19"/>
          <w:lang w:val="sk-SK"/>
        </w:rPr>
        <w:t xml:space="preserve"> 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815A6F1"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oznámiť podozrenie zo spáchania trestného činu, priestupku alebo zo spáchania iného správneho deliktu orgánom príslušným podľa trestného poriadku, alebo 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771817">
      <w:pPr>
        <w:pStyle w:val="Default"/>
        <w:numPr>
          <w:ilvl w:val="1"/>
          <w:numId w:val="114"/>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771817">
      <w:pPr>
        <w:pStyle w:val="Default"/>
        <w:numPr>
          <w:ilvl w:val="1"/>
          <w:numId w:val="114"/>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771817">
      <w:pPr>
        <w:pStyle w:val="Default"/>
        <w:numPr>
          <w:ilvl w:val="1"/>
          <w:numId w:val="114"/>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0E336B96"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 xml:space="preserve">ných </w:t>
      </w:r>
      <w:r w:rsidR="009D7F63" w:rsidRPr="0073389C">
        <w:rPr>
          <w:rFonts w:ascii="Arial" w:hAnsi="Arial" w:cs="Arial"/>
          <w:sz w:val="19"/>
          <w:szCs w:val="19"/>
          <w:lang w:val="sk-SK"/>
        </w:rPr>
        <w:lastRenderedPageBreak/>
        <w:t>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 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ktorými sa rozumejú osoby podľa 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0328108E" w:rsidR="009D7F63" w:rsidRPr="0073389C" w:rsidRDefault="008545F0" w:rsidP="009D7F63">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predmet </w:t>
      </w:r>
      <w:r w:rsidR="004A7CB6">
        <w:rPr>
          <w:rFonts w:ascii="Arial" w:hAnsi="Arial" w:cs="Arial"/>
          <w:sz w:val="19"/>
          <w:szCs w:val="19"/>
          <w:lang w:val="sk-SK"/>
        </w:rPr>
        <w:t>finančnej</w:t>
      </w:r>
      <w:r w:rsidR="009D7F63" w:rsidRPr="0073389C">
        <w:rPr>
          <w:rFonts w:ascii="Arial" w:hAnsi="Arial" w:cs="Arial"/>
          <w:sz w:val="19"/>
          <w:szCs w:val="19"/>
          <w:lang w:val="sk-SK"/>
        </w:rPr>
        <w:t xml:space="preserve"> kontroly na mieste, predpokladaný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predpokladanú dĺžku trvania </w:t>
      </w:r>
      <w:r w:rsidR="004A7CB6" w:rsidRPr="0073389C">
        <w:rPr>
          <w:rFonts w:ascii="Arial" w:hAnsi="Arial" w:cs="Arial"/>
          <w:sz w:val="19"/>
          <w:szCs w:val="19"/>
          <w:lang w:val="sk-SK"/>
        </w:rPr>
        <w:t>fyzick</w:t>
      </w:r>
      <w:r w:rsidR="004A7CB6">
        <w:rPr>
          <w:rFonts w:ascii="Arial" w:hAnsi="Arial" w:cs="Arial"/>
          <w:sz w:val="19"/>
          <w:szCs w:val="19"/>
          <w:lang w:val="sk-SK"/>
        </w:rPr>
        <w:t>ého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 xml:space="preserve">účasť relevantných osôb a poskytnúť členom kontrolnej skupiny potrebnú súčinnosť pri výkone kontroly. </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0594D3E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predmet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predpokladanú dĺžku trvania </w:t>
      </w:r>
      <w:r w:rsidR="00563241" w:rsidRPr="0073389C">
        <w:rPr>
          <w:rFonts w:ascii="Arial" w:hAnsi="Arial" w:cs="Arial"/>
          <w:sz w:val="19"/>
          <w:szCs w:val="19"/>
          <w:lang w:val="sk-SK"/>
        </w:rPr>
        <w:t>fyzick</w:t>
      </w:r>
      <w:r w:rsidR="00563241">
        <w:rPr>
          <w:rFonts w:ascii="Arial" w:hAnsi="Arial" w:cs="Arial"/>
          <w:sz w:val="19"/>
          <w:szCs w:val="19"/>
          <w:lang w:val="sk-SK"/>
        </w:rPr>
        <w:t>ého výkonu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77777777"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t.j. v prípade existencie partnerov prijímateľa je poskytovateľ povinný vykonať predmetnú kontrolu u každého z nich, </w:t>
      </w:r>
      <w:r w:rsidRPr="00771817">
        <w:rPr>
          <w:color w:val="auto"/>
          <w:lang w:val="sk-SK"/>
        </w:rPr>
        <w:t>v závislosti od cieľov a zamerania finančnej kontroly projektu na mieste.</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097DDA6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9 zákona o finančnej kontrole. </w:t>
      </w:r>
    </w:p>
    <w:p w14:paraId="7A55D4FE" w14:textId="5CD870E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79FE211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na podanie námietky k</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voči zisteniam, je povinný prijať opatrenia,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2548579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poskytovateľ neakceptuje námietky podané prijímateľom alebo prijímateľ v stanovenej lehote nedoručí námietky alebo ak prijímateľ doručí oznámenie, že nemá námietky k</w:t>
      </w:r>
      <w:r w:rsidR="000D3984">
        <w:rPr>
          <w:rFonts w:ascii="Arial" w:hAnsi="Arial" w:cs="Arial"/>
          <w:sz w:val="19"/>
          <w:szCs w:val="19"/>
          <w:lang w:val="sk-SK"/>
        </w:rPr>
        <w:t> 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6354BC14"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moment 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3C5775B3"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Prijímateľ je povinný prijať opatrenia  na nápravu nedostatkov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 správe/inom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4"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5" w:name="_Toc440372893"/>
      <w:bookmarkStart w:id="196" w:name="_Toc440636404"/>
      <w:r w:rsidRPr="0073389C">
        <w:rPr>
          <w:rFonts w:ascii="Arial" w:hAnsi="Arial"/>
          <w:lang w:val="sk-SK"/>
        </w:rPr>
        <w:lastRenderedPageBreak/>
        <w:t>Pr</w:t>
      </w:r>
      <w:r>
        <w:rPr>
          <w:rFonts w:ascii="Arial" w:hAnsi="Arial"/>
          <w:lang w:val="sk-SK"/>
        </w:rPr>
        <w:t>echodné a záverečné ustanovenia</w:t>
      </w:r>
      <w:bookmarkEnd w:id="195"/>
      <w:bookmarkEnd w:id="196"/>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197" w:name="_Toc440372894"/>
      <w:bookmarkStart w:id="198" w:name="_Toc440636405"/>
      <w:r w:rsidRPr="0073389C">
        <w:rPr>
          <w:rFonts w:ascii="Arial" w:hAnsi="Arial"/>
          <w:lang w:val="sk-SK"/>
        </w:rPr>
        <w:lastRenderedPageBreak/>
        <w:t>Prílohy</w:t>
      </w:r>
      <w:bookmarkEnd w:id="194"/>
      <w:bookmarkEnd w:id="197"/>
      <w:bookmarkEnd w:id="198"/>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77777777" w:rsidR="009D7F63" w:rsidRPr="002255EE" w:rsidRDefault="009D7F63" w:rsidP="009A78AB">
      <w:pPr>
        <w:pStyle w:val="Default"/>
        <w:numPr>
          <w:ilvl w:val="0"/>
          <w:numId w:val="98"/>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14:paraId="7A55D511" w14:textId="1E37E866"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14:paraId="7A55D512" w14:textId="21037857" w:rsidR="009D7F63" w:rsidRPr="002255EE" w:rsidRDefault="009D7F63" w:rsidP="009A78AB">
      <w:pPr>
        <w:pStyle w:val="Default"/>
        <w:numPr>
          <w:ilvl w:val="0"/>
          <w:numId w:val="43"/>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9A78AB">
      <w:pPr>
        <w:pStyle w:val="Default"/>
        <w:numPr>
          <w:ilvl w:val="0"/>
          <w:numId w:val="43"/>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9A78AB">
      <w:pPr>
        <w:pStyle w:val="Default"/>
        <w:numPr>
          <w:ilvl w:val="0"/>
          <w:numId w:val="4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9A78AB">
      <w:pPr>
        <w:pStyle w:val="Default"/>
        <w:numPr>
          <w:ilvl w:val="0"/>
          <w:numId w:val="43"/>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9A78AB">
      <w:pPr>
        <w:pStyle w:val="Default"/>
        <w:numPr>
          <w:ilvl w:val="0"/>
          <w:numId w:val="99"/>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77777777"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p>
    <w:p w14:paraId="7A55D527" w14:textId="440C771A"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494883CD" w:rsidR="005979B7" w:rsidRDefault="005979B7"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Rizikové indikátory – hospodárska súťaž</w:t>
      </w:r>
    </w:p>
    <w:p w14:paraId="641C590A" w14:textId="21E47BF6" w:rsidR="007F77C1" w:rsidRDefault="007F77C1"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9A78AB">
      <w:pPr>
        <w:pStyle w:val="Default"/>
        <w:numPr>
          <w:ilvl w:val="0"/>
          <w:numId w:val="99"/>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3EDF425B" w:rsidR="00AE2E88" w:rsidRDefault="00AE2E88" w:rsidP="009A78AB">
      <w:pPr>
        <w:pStyle w:val="Default"/>
        <w:numPr>
          <w:ilvl w:val="0"/>
          <w:numId w:val="99"/>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Doplňujúce monitorovacie údaje</w:t>
      </w: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footerReference w:type="default" r:id="rId28"/>
      <w:footerReference w:type="first" r:id="rId29"/>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700D03" w14:textId="77777777" w:rsidR="001020BC" w:rsidRDefault="001020BC">
      <w:r>
        <w:separator/>
      </w:r>
    </w:p>
    <w:p w14:paraId="1DAFDF6B" w14:textId="77777777" w:rsidR="001020BC" w:rsidRDefault="001020BC"/>
  </w:endnote>
  <w:endnote w:type="continuationSeparator" w:id="0">
    <w:p w14:paraId="429B4EF1" w14:textId="77777777" w:rsidR="001020BC" w:rsidRDefault="001020BC">
      <w:r>
        <w:continuationSeparator/>
      </w:r>
    </w:p>
    <w:p w14:paraId="5B30411A" w14:textId="77777777" w:rsidR="001020BC" w:rsidRDefault="001020BC"/>
  </w:endnote>
  <w:endnote w:type="continuationNotice" w:id="1">
    <w:p w14:paraId="24644E53" w14:textId="77777777" w:rsidR="001020BC" w:rsidRDefault="001020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E34A10" w:rsidRDefault="00E34A10">
    <w:pPr>
      <w:pStyle w:val="Pta"/>
      <w:jc w:val="right"/>
    </w:pPr>
    <w:r>
      <w:fldChar w:fldCharType="begin"/>
    </w:r>
    <w:r>
      <w:instrText xml:space="preserve"> PAGE   \* MERGEFORMAT </w:instrText>
    </w:r>
    <w:r>
      <w:fldChar w:fldCharType="separate"/>
    </w:r>
    <w:r w:rsidR="00586BA1">
      <w:rPr>
        <w:noProof/>
      </w:rPr>
      <w:t>12</w:t>
    </w:r>
    <w:r>
      <w:rPr>
        <w:noProof/>
      </w:rPr>
      <w:fldChar w:fldCharType="end"/>
    </w:r>
  </w:p>
  <w:p w14:paraId="5596B515" w14:textId="77777777" w:rsidR="00E34A10" w:rsidRPr="003530AF" w:rsidRDefault="00E34A10"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E34A10" w:rsidRDefault="00E34A10">
        <w:pPr>
          <w:pStyle w:val="Pta"/>
          <w:jc w:val="right"/>
        </w:pPr>
        <w:r>
          <w:fldChar w:fldCharType="begin"/>
        </w:r>
        <w:r>
          <w:instrText>PAGE   \* MERGEFORMAT</w:instrText>
        </w:r>
        <w:r>
          <w:fldChar w:fldCharType="separate"/>
        </w:r>
        <w:r w:rsidR="00586BA1" w:rsidRPr="00586BA1">
          <w:rPr>
            <w:noProof/>
            <w:lang w:val="sk-SK"/>
          </w:rPr>
          <w:t>1</w:t>
        </w:r>
        <w:r>
          <w:fldChar w:fldCharType="end"/>
        </w:r>
      </w:p>
    </w:sdtContent>
  </w:sdt>
  <w:p w14:paraId="3B48FDCA" w14:textId="77777777" w:rsidR="00E34A10" w:rsidRDefault="00E34A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8784CB" w14:textId="77777777" w:rsidR="001020BC" w:rsidRDefault="001020BC">
      <w:r>
        <w:separator/>
      </w:r>
    </w:p>
    <w:p w14:paraId="7FFE1C0F" w14:textId="77777777" w:rsidR="001020BC" w:rsidRDefault="001020BC"/>
  </w:footnote>
  <w:footnote w:type="continuationSeparator" w:id="0">
    <w:p w14:paraId="317E88BA" w14:textId="77777777" w:rsidR="001020BC" w:rsidRDefault="001020BC">
      <w:r>
        <w:continuationSeparator/>
      </w:r>
    </w:p>
    <w:p w14:paraId="5E501BA3" w14:textId="77777777" w:rsidR="001020BC" w:rsidRDefault="001020BC"/>
  </w:footnote>
  <w:footnote w:type="continuationNotice" w:id="1">
    <w:p w14:paraId="5A9273BC" w14:textId="77777777" w:rsidR="001020BC" w:rsidRDefault="001020BC"/>
  </w:footnote>
  <w:footnote w:id="2">
    <w:p w14:paraId="7A55D546" w14:textId="77777777" w:rsidR="00E34A10" w:rsidRPr="009D7F63" w:rsidRDefault="00E34A10"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E34A10" w:rsidRPr="009D7F63" w:rsidRDefault="00E34A10"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E34A10" w:rsidRPr="009D7F63" w:rsidRDefault="00E34A10"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7F6325DA" w14:textId="3D1E837E" w:rsidR="00E34A10" w:rsidRPr="00587015" w:rsidRDefault="00E34A10"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14:paraId="7A55D549" w14:textId="77777777" w:rsidR="00E34A10" w:rsidRPr="009D7F63" w:rsidRDefault="00E34A10"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14:paraId="6CC7BD3B" w14:textId="5832019B" w:rsidR="00E34A10" w:rsidRPr="00454404" w:rsidRDefault="00E34A10" w:rsidP="00F651CD">
      <w:pPr>
        <w:pStyle w:val="Default"/>
        <w:jc w:val="both"/>
        <w:rPr>
          <w:lang w:val="sk-SK"/>
        </w:rPr>
      </w:pPr>
      <w:r>
        <w:rPr>
          <w:rStyle w:val="Odkaznapoznmkupodiarou"/>
        </w:rPr>
        <w:footnoteRef/>
      </w:r>
      <w:r>
        <w:t xml:space="preserve"> </w:t>
      </w:r>
      <w:r>
        <w:rPr>
          <w:rFonts w:ascii="Arial" w:hAnsi="Arial"/>
          <w:color w:val="auto"/>
          <w:sz w:val="19"/>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8">
    <w:p w14:paraId="7A55D54A" w14:textId="77777777" w:rsidR="00E34A10" w:rsidRPr="009D7F63" w:rsidRDefault="00E34A10"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9">
    <w:p w14:paraId="7A55D54B" w14:textId="77777777" w:rsidR="00E34A10" w:rsidRPr="009D7F63" w:rsidRDefault="00E34A1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0">
    <w:p w14:paraId="356452D0" w14:textId="6C4EE198" w:rsidR="00E34A10" w:rsidRPr="007D7535" w:rsidRDefault="00E34A10"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11">
    <w:p w14:paraId="7A55D54C" w14:textId="77777777" w:rsidR="00E34A10" w:rsidRPr="009D7F63" w:rsidRDefault="00E34A10"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E34A10" w:rsidRPr="009D7F63" w:rsidRDefault="00E34A10"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E34A10" w:rsidRPr="009D7F63" w:rsidRDefault="00E34A10"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E34A10" w:rsidRPr="009D7F63" w:rsidRDefault="00E34A10"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E34A10" w:rsidRPr="009D7F63" w:rsidRDefault="00E34A10" w:rsidP="00C8683A">
      <w:pPr>
        <w:pStyle w:val="Textpoznmkypodiarou"/>
        <w:rPr>
          <w:rFonts w:cs="Arial"/>
          <w:szCs w:val="16"/>
          <w:lang w:val="sk-SK"/>
        </w:rPr>
      </w:pPr>
      <w:r w:rsidRPr="009D7F63">
        <w:rPr>
          <w:rFonts w:cs="Arial"/>
          <w:szCs w:val="16"/>
          <w:lang w:val="sk-SK" w:eastAsia="cs-CZ"/>
        </w:rPr>
        <w:t>4. pohonné hmoty.</w:t>
      </w:r>
    </w:p>
  </w:footnote>
  <w:footnote w:id="12">
    <w:p w14:paraId="0C902E3E" w14:textId="77777777" w:rsidR="00E34A10" w:rsidRPr="009D7F63" w:rsidRDefault="00E34A10"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E34A10" w:rsidRPr="009D7F63" w:rsidRDefault="00E34A10"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E34A10" w:rsidRPr="009D7F63" w:rsidRDefault="00E34A10"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E34A10" w:rsidRPr="009D7F63" w:rsidRDefault="00E34A10"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E34A10" w:rsidRPr="00041D2E" w:rsidRDefault="00E34A10" w:rsidP="00041D2E">
      <w:pPr>
        <w:pStyle w:val="Textpoznmkypodiarou"/>
        <w:rPr>
          <w:lang w:val="sk-SK"/>
        </w:rPr>
      </w:pPr>
      <w:r w:rsidRPr="009D7F63">
        <w:rPr>
          <w:rFonts w:cs="Arial"/>
          <w:szCs w:val="16"/>
          <w:lang w:val="sk-SK" w:eastAsia="cs-CZ"/>
        </w:rPr>
        <w:t>4. pohonné hmoty.</w:t>
      </w:r>
    </w:p>
  </w:footnote>
  <w:footnote w:id="13">
    <w:p w14:paraId="7A55D551" w14:textId="77777777" w:rsidR="00E34A10" w:rsidRPr="009D7F63" w:rsidRDefault="00E34A10"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4">
    <w:p w14:paraId="7A55D552" w14:textId="77777777" w:rsidR="00E34A10" w:rsidRPr="009D7F63" w:rsidRDefault="00E34A10"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5">
    <w:p w14:paraId="7A55D553" w14:textId="77777777" w:rsidR="00E34A10" w:rsidRPr="009D7F63" w:rsidRDefault="00E34A10"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6">
    <w:p w14:paraId="2415F5CC" w14:textId="68E1CA8B" w:rsidR="00E34A10" w:rsidRDefault="00E34A10"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E34A10" w:rsidRPr="009D7F63" w:rsidRDefault="00E34A10">
      <w:pPr>
        <w:pStyle w:val="Textpoznmkypodiarou"/>
        <w:rPr>
          <w:rFonts w:cs="Arial"/>
          <w:szCs w:val="16"/>
          <w:lang w:val="sk-SK"/>
        </w:rPr>
      </w:pPr>
    </w:p>
  </w:footnote>
  <w:footnote w:id="17">
    <w:p w14:paraId="7A55D555" w14:textId="77777777" w:rsidR="00E34A10" w:rsidRPr="009D7F63" w:rsidRDefault="00E34A10"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18">
    <w:p w14:paraId="0274D41C" w14:textId="77777777" w:rsidR="00E34A10" w:rsidRPr="006E4CC8" w:rsidRDefault="00E34A10"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E34A10" w:rsidRPr="007F7349" w:rsidRDefault="00E34A10" w:rsidP="009A78AB">
      <w:pPr>
        <w:pStyle w:val="Odsekzoznamu"/>
        <w:numPr>
          <w:ilvl w:val="0"/>
          <w:numId w:val="92"/>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E34A10" w:rsidRPr="007F7349" w:rsidRDefault="00E34A10" w:rsidP="009A78AB">
      <w:pPr>
        <w:pStyle w:val="Odsekzoznamu"/>
        <w:numPr>
          <w:ilvl w:val="0"/>
          <w:numId w:val="92"/>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E34A10" w:rsidRPr="007F7349" w:rsidRDefault="00E34A10" w:rsidP="009A78AB">
      <w:pPr>
        <w:pStyle w:val="Odsekzoznamu"/>
        <w:numPr>
          <w:ilvl w:val="0"/>
          <w:numId w:val="92"/>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E34A10" w:rsidRPr="00F41F62" w:rsidRDefault="00E34A10"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19">
    <w:p w14:paraId="7A55D556" w14:textId="77777777" w:rsidR="00E34A10" w:rsidRPr="009D7F63" w:rsidRDefault="00E34A10"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0">
    <w:p w14:paraId="4FEE481D" w14:textId="479E076B" w:rsidR="00E34A10" w:rsidRPr="004F28ED" w:rsidRDefault="00E34A10">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1">
    <w:p w14:paraId="3B927676" w14:textId="0B338479" w:rsidR="00E34A10" w:rsidRPr="00965E93" w:rsidRDefault="00E34A10"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2">
    <w:p w14:paraId="7A55D557" w14:textId="52DFEF6A" w:rsidR="00E34A10" w:rsidRPr="009D7F63" w:rsidRDefault="00E34A10"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3">
    <w:p w14:paraId="7A55D558" w14:textId="77777777" w:rsidR="00E34A10" w:rsidRPr="009D7F63" w:rsidRDefault="00E34A10"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4">
    <w:p w14:paraId="17C29017" w14:textId="77777777" w:rsidR="00E34A10" w:rsidRPr="009D7F63" w:rsidRDefault="00E34A10"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5">
    <w:p w14:paraId="7A55D559" w14:textId="77777777" w:rsidR="00E34A10" w:rsidRPr="009D7F63" w:rsidRDefault="00E34A10"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777AFDB2" w:rsidR="00E34A10" w:rsidRPr="009D7F63" w:rsidRDefault="00E34A10"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 ako napríklad odmeny.</w:t>
      </w:r>
    </w:p>
  </w:footnote>
  <w:footnote w:id="26">
    <w:p w14:paraId="7A55D55B" w14:textId="77777777" w:rsidR="00E34A10" w:rsidRPr="009D7F63" w:rsidRDefault="00E34A10"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7">
    <w:p w14:paraId="7A55D55C" w14:textId="77777777" w:rsidR="00E34A10" w:rsidRPr="009D7F63" w:rsidRDefault="00E34A10"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8">
    <w:p w14:paraId="7A55D55D" w14:textId="77777777" w:rsidR="00E34A10" w:rsidRPr="009D7F63" w:rsidRDefault="00E34A10"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E34A10" w:rsidRPr="009D7F63" w:rsidRDefault="00E34A10"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9">
    <w:p w14:paraId="7A55D55F" w14:textId="333E477A" w:rsidR="00E34A10" w:rsidRPr="00062F88" w:rsidRDefault="00E34A10"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0">
    <w:p w14:paraId="02F4C726" w14:textId="77777777" w:rsidR="00E34A10" w:rsidRDefault="00E34A10" w:rsidP="009B4AEF">
      <w:pPr>
        <w:pStyle w:val="Textpoznmkypodiarou"/>
        <w:jc w:val="both"/>
      </w:pPr>
      <w:r>
        <w:rPr>
          <w:rStyle w:val="Odkaznapoznmkupodiarou"/>
        </w:rPr>
        <w:footnoteRef/>
      </w:r>
      <w:r>
        <w:t xml:space="preserve"> Priznanie odmeny príslušnému zamestnancovi musí byť náležite zdôvodnené.</w:t>
      </w:r>
    </w:p>
  </w:footnote>
  <w:footnote w:id="31">
    <w:p w14:paraId="0388B3E2" w14:textId="4D28868F" w:rsidR="00E34A10" w:rsidRDefault="00E34A10"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2">
    <w:p w14:paraId="2E6985A0" w14:textId="77777777" w:rsidR="00E34A10" w:rsidRDefault="00E34A10"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3">
    <w:p w14:paraId="7A55D560" w14:textId="5738DA04" w:rsidR="00E34A10" w:rsidRPr="00027286" w:rsidRDefault="00E34A10"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34">
    <w:p w14:paraId="15B0D0EB" w14:textId="3E15725B" w:rsidR="00E34A10" w:rsidRPr="00AF0A84" w:rsidRDefault="00E34A10">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35">
    <w:p w14:paraId="7A55D564" w14:textId="77777777" w:rsidR="00E34A10" w:rsidRPr="009D7F63" w:rsidRDefault="00E34A10"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36">
    <w:p w14:paraId="6A48E5FC" w14:textId="67F6A6F7" w:rsidR="00E34A10" w:rsidRPr="00B275B2" w:rsidRDefault="00E34A10"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37">
    <w:p w14:paraId="75442DCC" w14:textId="77777777" w:rsidR="00E34A10" w:rsidRPr="001277DD" w:rsidRDefault="00E34A10"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38">
    <w:p w14:paraId="539DE3AB" w14:textId="77777777" w:rsidR="00E34A10" w:rsidRPr="001277DD" w:rsidRDefault="00E34A10"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39">
    <w:p w14:paraId="6B33FB00" w14:textId="77777777" w:rsidR="00E34A10" w:rsidRPr="001277DD" w:rsidRDefault="00E34A10"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0">
    <w:p w14:paraId="44310DB6" w14:textId="77777777" w:rsidR="00E34A10" w:rsidRPr="001277DD" w:rsidRDefault="00E34A10"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1">
    <w:p w14:paraId="28E7C95F" w14:textId="77777777" w:rsidR="00E34A10" w:rsidRPr="001277DD" w:rsidRDefault="00E34A10"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42">
    <w:p w14:paraId="250CEFBD" w14:textId="526DC35D" w:rsidR="00E34A10" w:rsidRPr="00A577B4" w:rsidRDefault="00E34A10"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p>
  </w:footnote>
  <w:footnote w:id="43">
    <w:p w14:paraId="414F1A43" w14:textId="265724BA" w:rsidR="00E34A10" w:rsidRPr="00772F95" w:rsidRDefault="00E34A10"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44">
    <w:p w14:paraId="0C4735BA" w14:textId="1928CC24" w:rsidR="00E34A10" w:rsidRPr="008A522F" w:rsidRDefault="00E34A10"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45">
    <w:p w14:paraId="038A96C2" w14:textId="13120178" w:rsidR="00E34A10" w:rsidRPr="00CE0C11" w:rsidRDefault="00E34A10"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46">
    <w:p w14:paraId="70BE8EFD" w14:textId="719699B4" w:rsidR="00E34A10" w:rsidRPr="00391F1C" w:rsidRDefault="00E34A10"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verejného zdroja (zdroje EÚ, </w:t>
      </w:r>
      <w:r>
        <w:rPr>
          <w:szCs w:val="22"/>
        </w:rPr>
        <w:t>štátny rozpočet, zdroje obce, VÚC a iné verejné zdroje) určené na nákup tohto majetku, prefinancoval majetok ako oprávnený výdavok formou odpisov z projektu, a zároveň si ponechal verejné prostriedky získané na nákup tohto majetku z pôvodného verejného zdroja.</w:t>
      </w:r>
    </w:p>
  </w:footnote>
  <w:footnote w:id="47">
    <w:p w14:paraId="7A55D567" w14:textId="77777777" w:rsidR="00E34A10" w:rsidRPr="009D7F63" w:rsidRDefault="00E34A10"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48">
    <w:p w14:paraId="7A55D568" w14:textId="77777777" w:rsidR="00E34A10" w:rsidRPr="009D7F63" w:rsidRDefault="00E34A10"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49">
    <w:p w14:paraId="7A55D569" w14:textId="77777777" w:rsidR="00E34A10" w:rsidRPr="009D7F63" w:rsidRDefault="00E34A10"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0">
    <w:p w14:paraId="7A55D56A" w14:textId="77777777" w:rsidR="00E34A10" w:rsidRPr="009D7F63" w:rsidRDefault="00E34A10"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1">
    <w:p w14:paraId="7A55D56B" w14:textId="77777777" w:rsidR="00E34A10" w:rsidRPr="009D7F63" w:rsidRDefault="00E34A10"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52">
    <w:p w14:paraId="7A55D56E" w14:textId="416A13B1" w:rsidR="00E34A10" w:rsidRPr="009D7F63" w:rsidRDefault="00E34A10"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53">
    <w:p w14:paraId="7DAB27E8" w14:textId="77777777" w:rsidR="00E34A10" w:rsidRPr="00405EED" w:rsidRDefault="00E34A10"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54">
    <w:p w14:paraId="7A55D570" w14:textId="36F68E99" w:rsidR="00E34A10" w:rsidRPr="009D7F63" w:rsidRDefault="00E34A10"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55">
    <w:p w14:paraId="7A55D571" w14:textId="77777777" w:rsidR="00E34A10" w:rsidRPr="009D7F63" w:rsidRDefault="00E34A10"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56">
    <w:p w14:paraId="7A55D573" w14:textId="77777777" w:rsidR="00E34A10" w:rsidRPr="009D7F63" w:rsidRDefault="00E34A10"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57">
    <w:p w14:paraId="7A55D574" w14:textId="77777777" w:rsidR="00E34A10" w:rsidRPr="009D7F63" w:rsidRDefault="00E34A10"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58">
    <w:p w14:paraId="7A55D575" w14:textId="2BC95C86" w:rsidR="00E34A10" w:rsidRPr="009D7F63" w:rsidRDefault="00E34A10"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59">
    <w:p w14:paraId="7A55D578" w14:textId="77777777" w:rsidR="00E34A10" w:rsidRPr="009D7F63" w:rsidRDefault="00E34A10"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0">
    <w:p w14:paraId="4F8F3C8B" w14:textId="77777777" w:rsidR="00E34A10" w:rsidRPr="009D7F63" w:rsidRDefault="00E34A10"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1">
    <w:p w14:paraId="451277DD" w14:textId="77777777" w:rsidR="00E34A10" w:rsidRPr="009D7F63" w:rsidRDefault="00E34A10"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62">
    <w:p w14:paraId="7A55D579" w14:textId="67088258" w:rsidR="00E34A10" w:rsidRPr="009D7F63" w:rsidRDefault="00E34A10"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63">
    <w:p w14:paraId="45573155" w14:textId="14B40576" w:rsidR="00E34A10" w:rsidRPr="001A7C8D" w:rsidRDefault="00E34A10">
      <w:pPr>
        <w:pStyle w:val="Textpoznmkypodiarou"/>
        <w:rPr>
          <w:lang w:val="sk-SK"/>
        </w:rPr>
      </w:pPr>
      <w:r>
        <w:rPr>
          <w:rStyle w:val="Odkaznapoznmkupodiarou"/>
        </w:rPr>
        <w:footnoteRef/>
      </w:r>
      <w:r>
        <w:t xml:space="preserve"> V zmysle ustanovenia § 22 ods. 2 zákona o finančnej kontrole</w:t>
      </w:r>
    </w:p>
  </w:footnote>
  <w:footnote w:id="64">
    <w:p w14:paraId="7A55D57A" w14:textId="77777777" w:rsidR="00E34A10" w:rsidRPr="009D7F63" w:rsidRDefault="00E34A10"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E34A10" w:rsidRPr="009D7F63" w:rsidRDefault="00E34A10">
      <w:pPr>
        <w:pStyle w:val="Textpoznmkypodiarou"/>
        <w:rPr>
          <w:rFonts w:cs="Arial"/>
          <w:szCs w:val="16"/>
          <w:lang w:val="sk-SK"/>
        </w:rPr>
      </w:pPr>
    </w:p>
  </w:footnote>
  <w:footnote w:id="65">
    <w:p w14:paraId="7A55D57C" w14:textId="77777777" w:rsidR="00E34A10" w:rsidRPr="009D7F63" w:rsidRDefault="00E34A10"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66">
    <w:p w14:paraId="7A55D57D" w14:textId="77777777" w:rsidR="00E34A10" w:rsidRPr="009D7F63" w:rsidRDefault="00E34A10"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67">
    <w:p w14:paraId="7A55D57E" w14:textId="77777777" w:rsidR="00E34A10" w:rsidRPr="009D7F63" w:rsidRDefault="00E34A10"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ŽoP: zúčtovanie predfinancovania, poskytnutie zálohovej platby, </w:t>
      </w:r>
    </w:p>
  </w:footnote>
  <w:footnote w:id="68">
    <w:p w14:paraId="7A55D57F" w14:textId="77777777" w:rsidR="00E34A10" w:rsidRPr="009D7F63" w:rsidRDefault="00E34A10"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prípade týchto typov ŽoP: poskytnutie predfinancovania, zúčtovanie zálohovej platby a refundácia.</w:t>
      </w:r>
    </w:p>
  </w:footnote>
  <w:footnote w:id="69">
    <w:p w14:paraId="7A55D580" w14:textId="77777777" w:rsidR="00E34A10" w:rsidRPr="009D7F63" w:rsidRDefault="00E34A10"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0">
    <w:p w14:paraId="7A55D581" w14:textId="77777777" w:rsidR="00E34A10" w:rsidRPr="009D7F63" w:rsidRDefault="00E34A10"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1">
    <w:p w14:paraId="7A55D582" w14:textId="77777777" w:rsidR="00E34A10" w:rsidRPr="009D7F63" w:rsidRDefault="00E34A10"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2">
    <w:p w14:paraId="7A55D583" w14:textId="052EABFD" w:rsidR="00E34A10" w:rsidRPr="009D7F63" w:rsidRDefault="00E34A10"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77777777" w:rsidR="00E34A10" w:rsidRPr="009D7F63" w:rsidRDefault="00E34A10" w:rsidP="009A78AB">
      <w:pPr>
        <w:pStyle w:val="Zoznamsodrkami"/>
        <w:numPr>
          <w:ilvl w:val="0"/>
          <w:numId w:val="39"/>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14:paraId="7A55D585" w14:textId="6B81D9DC" w:rsidR="00E34A10" w:rsidRPr="009D7F63" w:rsidRDefault="00E34A10" w:rsidP="009A78AB">
      <w:pPr>
        <w:pStyle w:val="Zoznamsodrkami"/>
        <w:numPr>
          <w:ilvl w:val="0"/>
          <w:numId w:val="39"/>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E34A10" w:rsidRPr="002D4DD9" w:rsidRDefault="00E34A10"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73">
    <w:p w14:paraId="7A55D587" w14:textId="77777777" w:rsidR="00E34A10" w:rsidRPr="002D4DD9" w:rsidRDefault="00E34A10"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74">
    <w:p w14:paraId="7A55D588" w14:textId="4C7D466E" w:rsidR="00E34A10" w:rsidRPr="00666AC8" w:rsidRDefault="00E34A10"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 t. j. </w:t>
      </w:r>
      <w:r w:rsidRPr="002D4DD9">
        <w:rPr>
          <w:rFonts w:ascii="Arial" w:hAnsi="Arial"/>
          <w:sz w:val="16"/>
          <w:u w:val="single"/>
          <w:lang w:val="sk-SK"/>
        </w:rPr>
        <w:t xml:space="preserve">nevykonáva práce na základe dohody o prácach vykonávaných mimo pracovného pomeru ani iné činnosti </w:t>
      </w:r>
      <w:r w:rsidRPr="002D4DD9">
        <w:rPr>
          <w:rFonts w:ascii="Arial" w:hAnsi="Arial"/>
          <w:sz w:val="16"/>
          <w:lang w:val="sk-SK"/>
        </w:rPr>
        <w:t xml:space="preserve">financované prostredníctvom </w:t>
      </w:r>
      <w:r w:rsidRPr="002D4DD9">
        <w:rPr>
          <w:rFonts w:ascii="Arial" w:hAnsi="Arial"/>
          <w:sz w:val="16"/>
          <w:u w:val="single"/>
          <w:lang w:val="sk-SK"/>
        </w:rPr>
        <w:t>verejných prostriedkov</w:t>
      </w:r>
      <w:r w:rsidRPr="00666AC8">
        <w:rPr>
          <w:rFonts w:ascii="Arial" w:hAnsi="Arial"/>
          <w:b/>
          <w:sz w:val="16"/>
          <w:u w:val="single"/>
          <w:lang w:val="sk-SK"/>
        </w:rPr>
        <w:t xml:space="preserve">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75">
    <w:p w14:paraId="7A55D589" w14:textId="5F9FD177" w:rsidR="00E34A10" w:rsidRPr="002D4DD9" w:rsidRDefault="00E34A10"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r w:rsidRPr="009D7F63">
        <w:rPr>
          <w:rFonts w:cs="Arial"/>
          <w:szCs w:val="16"/>
        </w:rPr>
        <w:t>racovn</w:t>
      </w:r>
      <w:r>
        <w:rPr>
          <w:rFonts w:cs="Arial"/>
          <w:szCs w:val="16"/>
          <w:lang w:val="sk-SK"/>
        </w:rPr>
        <w:t>ý</w:t>
      </w:r>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76">
    <w:p w14:paraId="7A55D58A" w14:textId="010C8D03" w:rsidR="00E34A10" w:rsidRPr="002D4DD9" w:rsidRDefault="00E34A10"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77">
    <w:p w14:paraId="7A55D58B" w14:textId="77777777" w:rsidR="00E34A10" w:rsidRPr="002D4DD9" w:rsidRDefault="00E34A10"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78">
    <w:p w14:paraId="7A55D58D" w14:textId="03BDB2CD" w:rsidR="00E34A10" w:rsidRPr="009D7F63" w:rsidRDefault="00E34A10"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r w:rsidRPr="009D7F63">
        <w:rPr>
          <w:rFonts w:cs="Arial"/>
          <w:szCs w:val="16"/>
        </w:rPr>
        <w:t>racovn</w:t>
      </w:r>
      <w:r w:rsidRPr="009D7F63">
        <w:rPr>
          <w:rFonts w:cs="Arial"/>
          <w:szCs w:val="16"/>
          <w:lang w:val="sk-SK"/>
        </w:rPr>
        <w:t>ý</w:t>
      </w:r>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79">
    <w:p w14:paraId="7A55D58E" w14:textId="77777777" w:rsidR="00E34A10" w:rsidRPr="009D7F63" w:rsidRDefault="00E34A10"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0">
    <w:p w14:paraId="18F68BE6" w14:textId="77777777" w:rsidR="00E34A10" w:rsidRPr="009D7F63" w:rsidRDefault="00E34A10"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1">
    <w:p w14:paraId="7A55D58F" w14:textId="77777777" w:rsidR="00E34A10" w:rsidRPr="009D7F63" w:rsidRDefault="00E34A10"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Akceptovaná bude cena lístka </w:t>
      </w:r>
      <w:r w:rsidRPr="009D7F63">
        <w:rPr>
          <w:rFonts w:cs="Arial"/>
          <w:szCs w:val="16"/>
        </w:rPr>
        <w:t xml:space="preserve">pre II. triedu + miestenka </w:t>
      </w:r>
      <w:r w:rsidRPr="009D7F63">
        <w:rPr>
          <w:rFonts w:cs="Arial"/>
          <w:szCs w:val="16"/>
          <w:lang w:val="sk-SK"/>
        </w:rPr>
        <w:t>za priame spojenie, resp. cena lístka za najkratšiu vzdialenosť medzi miestom začiatku a skončenia pracovnej cesty.</w:t>
      </w:r>
    </w:p>
  </w:footnote>
  <w:footnote w:id="82">
    <w:p w14:paraId="245656D0" w14:textId="34CF1211" w:rsidR="00E34A10" w:rsidRPr="009D7F63" w:rsidRDefault="00E34A10"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83">
    <w:p w14:paraId="1F4D27D5" w14:textId="06F4D5DE" w:rsidR="00E34A10" w:rsidRPr="009D7F63" w:rsidRDefault="00E34A10" w:rsidP="007355D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Uplatňuje sa, ak prijímateľ si nárokuje na čiastočnú úhradu zákonnú poistku motorového vozidla organizácie. </w:t>
      </w:r>
    </w:p>
  </w:footnote>
  <w:footnote w:id="84">
    <w:p w14:paraId="531C004A" w14:textId="77777777" w:rsidR="00E34A10" w:rsidRPr="009D7F63" w:rsidRDefault="00E34A10" w:rsidP="00C8753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Akceptovaná bude cena lístka za priame spojenie, resp. cena lístka za najkratšiu vzdialenosť medzi miestom začiatku a skončenia pracovnej cesty.</w:t>
      </w:r>
    </w:p>
  </w:footnote>
  <w:footnote w:id="85">
    <w:p w14:paraId="1BAE06D9" w14:textId="3DB56B7A" w:rsidR="00E34A10" w:rsidRPr="008D4874" w:rsidRDefault="00E34A10">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6">
    <w:p w14:paraId="06A0F700" w14:textId="0A8847BF" w:rsidR="00E34A10" w:rsidRPr="00A9227A" w:rsidRDefault="00E34A10"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7">
    <w:p w14:paraId="7A55D594" w14:textId="7255982C" w:rsidR="00E34A10" w:rsidRPr="009D7F63" w:rsidRDefault="00E34A10"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88">
    <w:p w14:paraId="7A55D597" w14:textId="7291098D" w:rsidR="00E34A10" w:rsidRPr="009D7F63" w:rsidRDefault="00E34A10"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89">
    <w:p w14:paraId="7A55D598" w14:textId="1F811B32" w:rsidR="00E34A10" w:rsidRPr="009D7F63" w:rsidRDefault="00E34A10"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0">
    <w:p w14:paraId="7A55D599" w14:textId="36FD13E6" w:rsidR="00E34A10" w:rsidRPr="009D7F63" w:rsidRDefault="00E34A10"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1">
    <w:p w14:paraId="155B50B0" w14:textId="6BA108FC" w:rsidR="00E34A10" w:rsidRPr="001D76D4" w:rsidRDefault="00E34A10">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2">
    <w:p w14:paraId="2376272C" w14:textId="0C61265A" w:rsidR="00E34A10" w:rsidRDefault="001020BC" w:rsidP="009D7F63">
      <w:pPr>
        <w:pStyle w:val="Textpoznmkypodiarou"/>
        <w:rPr>
          <w:rFonts w:cs="Arial"/>
          <w:szCs w:val="16"/>
          <w:lang w:val="sk-SK"/>
        </w:rPr>
      </w:pPr>
      <w:hyperlink r:id="rId3" w:history="1">
        <w:r w:rsidR="00E34A10" w:rsidRPr="00D11568">
          <w:rPr>
            <w:rStyle w:val="Hypertextovprepojenie"/>
            <w:rFonts w:cs="Arial"/>
            <w:sz w:val="16"/>
            <w:szCs w:val="16"/>
            <w:lang w:val="sk-SK"/>
          </w:rPr>
          <w:t>http://www.uvo.gov.sk/legislativametodika-dohlad/metodicke-usmernenia/vseobecne-metodicke-usmernenia-zakon-c-252006-z-z--4bc.html</w:t>
        </w:r>
      </w:hyperlink>
      <w:r w:rsidR="00E34A10" w:rsidRPr="00D11568">
        <w:rPr>
          <w:rFonts w:cs="Arial"/>
          <w:szCs w:val="16"/>
          <w:lang w:val="sk-SK"/>
        </w:rPr>
        <w:t xml:space="preserve">  a http://www.uvo.gov.sk/legislativametodika-dohlad/metodicke-usmernenia/vseobecne-metodicke-usmernenia-zakon-c-3432015-z-z--51e.html</w:t>
      </w:r>
      <w:r w:rsidR="00E34A10" w:rsidRPr="00D11568" w:rsidDel="00D11568">
        <w:rPr>
          <w:rFonts w:cs="Arial"/>
          <w:szCs w:val="16"/>
          <w:lang w:val="sk-SK"/>
        </w:rPr>
        <w:t xml:space="preserve"> </w:t>
      </w:r>
      <w:r w:rsidR="00E34A10" w:rsidRPr="00552EAD">
        <w:rPr>
          <w:rStyle w:val="Odkaznapoznmkupodiarou"/>
          <w:rFonts w:cs="Arial"/>
          <w:szCs w:val="16"/>
          <w:vertAlign w:val="baseline"/>
        </w:rPr>
        <w:t xml:space="preserve"> </w:t>
      </w:r>
      <w:r w:rsidR="00E34A10" w:rsidRPr="009D7F63">
        <w:rPr>
          <w:rStyle w:val="Odkaznapoznmkupodiarou"/>
          <w:rFonts w:cs="Arial"/>
          <w:szCs w:val="16"/>
        </w:rPr>
        <w:footnoteRef/>
      </w:r>
    </w:p>
    <w:p w14:paraId="7A55D59A" w14:textId="542F27CA" w:rsidR="00E34A10" w:rsidRPr="009D7F63" w:rsidRDefault="00E34A10" w:rsidP="009D7F63">
      <w:pPr>
        <w:pStyle w:val="Textpoznmkypodiarou"/>
        <w:rPr>
          <w:rFonts w:cs="Arial"/>
          <w:szCs w:val="16"/>
          <w:lang w:val="sk-SK"/>
        </w:rPr>
      </w:pPr>
    </w:p>
  </w:footnote>
  <w:footnote w:id="93">
    <w:p w14:paraId="7A55D59B" w14:textId="77777777" w:rsidR="00E34A10" w:rsidRPr="009D7F63" w:rsidRDefault="00E34A10"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E34A10" w:rsidRPr="009D7F63" w:rsidRDefault="00E34A10"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E34A10" w:rsidRPr="009D7F63" w:rsidRDefault="00E34A10" w:rsidP="009D7F63">
      <w:pPr>
        <w:pStyle w:val="Textpoznmkypodiarou"/>
        <w:rPr>
          <w:rFonts w:cs="Arial"/>
          <w:szCs w:val="16"/>
        </w:rPr>
      </w:pPr>
    </w:p>
  </w:footnote>
  <w:footnote w:id="94">
    <w:p w14:paraId="7758003D" w14:textId="22D7C67A" w:rsidR="00E34A10" w:rsidRPr="00E70656" w:rsidRDefault="00E34A10">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95">
    <w:p w14:paraId="7A55D59E" w14:textId="77777777" w:rsidR="00E34A10" w:rsidRPr="009D7F63" w:rsidRDefault="00E34A10"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96">
    <w:p w14:paraId="7A55D59F" w14:textId="77777777" w:rsidR="00E34A10" w:rsidRPr="009D7F63" w:rsidRDefault="00E34A10"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97">
    <w:p w14:paraId="7A55D5A0" w14:textId="77777777" w:rsidR="00E34A10" w:rsidRPr="009D7F63" w:rsidRDefault="00E34A10"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zmysle § 5a zákona o slobode informácií</w:t>
      </w:r>
    </w:p>
  </w:footnote>
  <w:footnote w:id="98">
    <w:p w14:paraId="6D173C29" w14:textId="17D0C2A7" w:rsidR="00E34A10" w:rsidRPr="00963E0D" w:rsidRDefault="00E34A10">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99">
    <w:p w14:paraId="17304A12" w14:textId="40A4FD60" w:rsidR="00E34A10" w:rsidRPr="00963E0D" w:rsidRDefault="00E34A10">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0">
    <w:p w14:paraId="169A4593" w14:textId="3DC46A8E" w:rsidR="00E34A10" w:rsidRPr="00963E0D" w:rsidRDefault="00E34A10">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1">
    <w:p w14:paraId="7A55D5A1" w14:textId="77777777" w:rsidR="00E34A10" w:rsidRPr="009D7F63" w:rsidRDefault="00E34A10"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2">
    <w:p w14:paraId="2A432946" w14:textId="35C29B09" w:rsidR="00E34A10" w:rsidRPr="001325C0" w:rsidRDefault="00E34A10">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3">
    <w:p w14:paraId="19A2FB50" w14:textId="3C8C6416" w:rsidR="00E34A10" w:rsidRPr="001325C0" w:rsidRDefault="00E34A10">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04">
    <w:p w14:paraId="6CF6D88E" w14:textId="77777777" w:rsidR="00E34A10" w:rsidRPr="001325C0" w:rsidRDefault="00E34A10"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E34A10" w:rsidRPr="001325C0" w:rsidRDefault="00E34A10">
      <w:pPr>
        <w:pStyle w:val="Textpoznmkypodiarou"/>
        <w:rPr>
          <w:lang w:val="sk-SK"/>
        </w:rPr>
      </w:pPr>
    </w:p>
  </w:footnote>
  <w:footnote w:id="105">
    <w:p w14:paraId="60152099" w14:textId="6522BB22" w:rsidR="00E34A10" w:rsidRPr="00DF0865" w:rsidRDefault="00E34A10">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06">
    <w:p w14:paraId="7A55D5A3" w14:textId="77777777" w:rsidR="00E34A10" w:rsidRPr="009D7F63" w:rsidRDefault="00E34A10"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A60935"/>
    <w:multiLevelType w:val="hybridMultilevel"/>
    <w:tmpl w:val="E94A5CE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1C51D39"/>
    <w:multiLevelType w:val="hybridMultilevel"/>
    <w:tmpl w:val="5DFE507A"/>
    <w:lvl w:ilvl="0" w:tplc="328694C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386CFFCC"/>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0B5D12F5"/>
    <w:multiLevelType w:val="hybridMultilevel"/>
    <w:tmpl w:val="ED7AF47C"/>
    <w:lvl w:ilvl="0" w:tplc="6AA6E5F0">
      <w:numFmt w:val="bullet"/>
      <w:lvlText w:val="-"/>
      <w:lvlJc w:val="left"/>
      <w:pPr>
        <w:ind w:left="1080" w:hanging="360"/>
      </w:pPr>
      <w:rPr>
        <w:rFonts w:ascii="Arial Narrow" w:eastAsia="Times New Roman" w:hAnsi="Arial Narrow" w:cs="Mang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0C2F0876"/>
    <w:multiLevelType w:val="hybridMultilevel"/>
    <w:tmpl w:val="F7AAFC66"/>
    <w:lvl w:ilvl="0" w:tplc="8696D32C">
      <w:start w:val="1"/>
      <w:numFmt w:val="lowerLetter"/>
      <w:lvlText w:val="%1)"/>
      <w:lvlJc w:val="left"/>
      <w:pPr>
        <w:ind w:left="720" w:hanging="360"/>
      </w:pPr>
      <w:rPr>
        <w:rFonts w:ascii="Arial" w:eastAsia="Times New Roman" w:hAnsi="Arial" w:cs="Arial"/>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4">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12D641F0"/>
    <w:multiLevelType w:val="hybridMultilevel"/>
    <w:tmpl w:val="9A68ED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137D58C5"/>
    <w:multiLevelType w:val="hybridMultilevel"/>
    <w:tmpl w:val="ABA2D968"/>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1">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tentative="1">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3">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15C844E2"/>
    <w:multiLevelType w:val="hybridMultilevel"/>
    <w:tmpl w:val="90909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9">
    <w:nsid w:val="1A957D02"/>
    <w:multiLevelType w:val="hybridMultilevel"/>
    <w:tmpl w:val="0EF422A6"/>
    <w:lvl w:ilvl="0" w:tplc="BC886506">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9">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669359A"/>
    <w:multiLevelType w:val="hybridMultilevel"/>
    <w:tmpl w:val="1A105AB8"/>
    <w:lvl w:ilvl="0" w:tplc="04090019">
      <w:start w:val="1"/>
      <w:numFmt w:val="lowerLetter"/>
      <w:lvlText w:val="%1."/>
      <w:lvlJc w:val="left"/>
      <w:pPr>
        <w:ind w:left="1380" w:hanging="10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5">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8">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9">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tentative="1">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0">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5">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7">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0">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44467485"/>
    <w:multiLevelType w:val="hybridMultilevel"/>
    <w:tmpl w:val="B5121368"/>
    <w:lvl w:ilvl="0" w:tplc="041B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3">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5">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6">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9">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70">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5">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594B659C"/>
    <w:multiLevelType w:val="hybridMultilevel"/>
    <w:tmpl w:val="E0FCD590"/>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nsid w:val="5BF93BFA"/>
    <w:multiLevelType w:val="hybridMultilevel"/>
    <w:tmpl w:val="6E38EFA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4">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5">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634935A9"/>
    <w:multiLevelType w:val="hybridMultilevel"/>
    <w:tmpl w:val="E23CC070"/>
    <w:lvl w:ilvl="0" w:tplc="938A899E">
      <w:start w:val="1"/>
      <w:numFmt w:val="bullet"/>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4">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99">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02">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5">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6E27D9A"/>
    <w:multiLevelType w:val="hybridMultilevel"/>
    <w:tmpl w:val="894825C2"/>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56"/>
  </w:num>
  <w:num w:numId="2">
    <w:abstractNumId w:val="25"/>
  </w:num>
  <w:num w:numId="3">
    <w:abstractNumId w:val="86"/>
  </w:num>
  <w:num w:numId="4">
    <w:abstractNumId w:val="20"/>
  </w:num>
  <w:num w:numId="5">
    <w:abstractNumId w:val="42"/>
  </w:num>
  <w:num w:numId="6">
    <w:abstractNumId w:val="110"/>
  </w:num>
  <w:num w:numId="7">
    <w:abstractNumId w:val="109"/>
  </w:num>
  <w:num w:numId="8">
    <w:abstractNumId w:val="77"/>
  </w:num>
  <w:num w:numId="9">
    <w:abstractNumId w:val="92"/>
  </w:num>
  <w:num w:numId="10">
    <w:abstractNumId w:val="50"/>
  </w:num>
  <w:num w:numId="11">
    <w:abstractNumId w:val="74"/>
  </w:num>
  <w:num w:numId="12">
    <w:abstractNumId w:val="99"/>
  </w:num>
  <w:num w:numId="13">
    <w:abstractNumId w:val="1"/>
  </w:num>
  <w:num w:numId="14">
    <w:abstractNumId w:val="28"/>
  </w:num>
  <w:num w:numId="15">
    <w:abstractNumId w:val="59"/>
  </w:num>
  <w:num w:numId="16">
    <w:abstractNumId w:val="8"/>
  </w:num>
  <w:num w:numId="17">
    <w:abstractNumId w:val="9"/>
  </w:num>
  <w:num w:numId="18">
    <w:abstractNumId w:val="55"/>
  </w:num>
  <w:num w:numId="19">
    <w:abstractNumId w:val="78"/>
  </w:num>
  <w:num w:numId="20">
    <w:abstractNumId w:val="27"/>
  </w:num>
  <w:num w:numId="21">
    <w:abstractNumId w:val="57"/>
  </w:num>
  <w:num w:numId="22">
    <w:abstractNumId w:val="66"/>
  </w:num>
  <w:num w:numId="23">
    <w:abstractNumId w:val="88"/>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70"/>
  </w:num>
  <w:num w:numId="28">
    <w:abstractNumId w:val="69"/>
  </w:num>
  <w:num w:numId="29">
    <w:abstractNumId w:val="93"/>
  </w:num>
  <w:num w:numId="30">
    <w:abstractNumId w:val="75"/>
  </w:num>
  <w:num w:numId="31">
    <w:abstractNumId w:val="105"/>
  </w:num>
  <w:num w:numId="32">
    <w:abstractNumId w:val="19"/>
  </w:num>
  <w:num w:numId="33">
    <w:abstractNumId w:val="90"/>
  </w:num>
  <w:num w:numId="34">
    <w:abstractNumId w:val="96"/>
  </w:num>
  <w:num w:numId="35">
    <w:abstractNumId w:val="101"/>
  </w:num>
  <w:num w:numId="36">
    <w:abstractNumId w:val="40"/>
  </w:num>
  <w:num w:numId="37">
    <w:abstractNumId w:val="49"/>
  </w:num>
  <w:num w:numId="38">
    <w:abstractNumId w:val="47"/>
  </w:num>
  <w:num w:numId="39">
    <w:abstractNumId w:val="54"/>
  </w:num>
  <w:num w:numId="40">
    <w:abstractNumId w:val="64"/>
  </w:num>
  <w:num w:numId="41">
    <w:abstractNumId w:val="104"/>
  </w:num>
  <w:num w:numId="42">
    <w:abstractNumId w:val="3"/>
  </w:num>
  <w:num w:numId="43">
    <w:abstractNumId w:val="52"/>
  </w:num>
  <w:num w:numId="44">
    <w:abstractNumId w:val="73"/>
  </w:num>
  <w:num w:numId="45">
    <w:abstractNumId w:val="6"/>
  </w:num>
  <w:num w:numId="46">
    <w:abstractNumId w:val="35"/>
  </w:num>
  <w:num w:numId="47">
    <w:abstractNumId w:val="84"/>
  </w:num>
  <w:num w:numId="48">
    <w:abstractNumId w:val="91"/>
  </w:num>
  <w:num w:numId="49">
    <w:abstractNumId w:val="51"/>
  </w:num>
  <w:num w:numId="50">
    <w:abstractNumId w:val="67"/>
  </w:num>
  <w:num w:numId="51">
    <w:abstractNumId w:val="100"/>
  </w:num>
  <w:num w:numId="52">
    <w:abstractNumId w:val="34"/>
  </w:num>
  <w:num w:numId="53">
    <w:abstractNumId w:val="21"/>
  </w:num>
  <w:num w:numId="54">
    <w:abstractNumId w:val="10"/>
  </w:num>
  <w:num w:numId="55">
    <w:abstractNumId w:val="37"/>
  </w:num>
  <w:num w:numId="56">
    <w:abstractNumId w:val="26"/>
  </w:num>
  <w:num w:numId="57">
    <w:abstractNumId w:val="38"/>
  </w:num>
  <w:num w:numId="58">
    <w:abstractNumId w:val="41"/>
  </w:num>
  <w:num w:numId="59">
    <w:abstractNumId w:val="61"/>
  </w:num>
  <w:num w:numId="60">
    <w:abstractNumId w:val="16"/>
  </w:num>
  <w:num w:numId="61">
    <w:abstractNumId w:val="72"/>
  </w:num>
  <w:num w:numId="62">
    <w:abstractNumId w:val="53"/>
  </w:num>
  <w:num w:numId="63">
    <w:abstractNumId w:val="43"/>
  </w:num>
  <w:num w:numId="64">
    <w:abstractNumId w:val="82"/>
  </w:num>
  <w:num w:numId="65">
    <w:abstractNumId w:val="89"/>
  </w:num>
  <w:num w:numId="66">
    <w:abstractNumId w:val="63"/>
  </w:num>
  <w:num w:numId="67">
    <w:abstractNumId w:val="7"/>
  </w:num>
  <w:num w:numId="68">
    <w:abstractNumId w:val="33"/>
  </w:num>
  <w:num w:numId="69">
    <w:abstractNumId w:val="39"/>
  </w:num>
  <w:num w:numId="70">
    <w:abstractNumId w:val="15"/>
  </w:num>
  <w:num w:numId="71">
    <w:abstractNumId w:val="71"/>
  </w:num>
  <w:num w:numId="72">
    <w:abstractNumId w:val="17"/>
  </w:num>
  <w:num w:numId="73">
    <w:abstractNumId w:val="102"/>
  </w:num>
  <w:num w:numId="74">
    <w:abstractNumId w:val="58"/>
  </w:num>
  <w:num w:numId="75">
    <w:abstractNumId w:val="31"/>
  </w:num>
  <w:num w:numId="76">
    <w:abstractNumId w:val="97"/>
  </w:num>
  <w:num w:numId="77">
    <w:abstractNumId w:val="14"/>
  </w:num>
  <w:num w:numId="78">
    <w:abstractNumId w:val="107"/>
  </w:num>
  <w:num w:numId="79">
    <w:abstractNumId w:val="22"/>
  </w:num>
  <w:num w:numId="80">
    <w:abstractNumId w:val="106"/>
  </w:num>
  <w:num w:numId="81">
    <w:abstractNumId w:val="44"/>
  </w:num>
  <w:num w:numId="82">
    <w:abstractNumId w:val="111"/>
  </w:num>
  <w:num w:numId="83">
    <w:abstractNumId w:val="45"/>
  </w:num>
  <w:num w:numId="84">
    <w:abstractNumId w:val="29"/>
  </w:num>
  <w:num w:numId="85">
    <w:abstractNumId w:val="94"/>
  </w:num>
  <w:num w:numId="86">
    <w:abstractNumId w:val="62"/>
  </w:num>
  <w:num w:numId="87">
    <w:abstractNumId w:val="11"/>
  </w:num>
  <w:num w:numId="88">
    <w:abstractNumId w:val="32"/>
  </w:num>
  <w:num w:numId="89">
    <w:abstractNumId w:val="24"/>
  </w:num>
  <w:num w:numId="90">
    <w:abstractNumId w:val="76"/>
  </w:num>
  <w:num w:numId="91">
    <w:abstractNumId w:val="60"/>
  </w:num>
  <w:num w:numId="92">
    <w:abstractNumId w:val="36"/>
  </w:num>
  <w:num w:numId="93">
    <w:abstractNumId w:val="12"/>
  </w:num>
  <w:num w:numId="94">
    <w:abstractNumId w:val="4"/>
  </w:num>
  <w:num w:numId="95">
    <w:abstractNumId w:val="103"/>
  </w:num>
  <w:num w:numId="96">
    <w:abstractNumId w:val="13"/>
  </w:num>
  <w:num w:numId="97">
    <w:abstractNumId w:val="48"/>
  </w:num>
  <w:num w:numId="98">
    <w:abstractNumId w:val="85"/>
  </w:num>
  <w:num w:numId="99">
    <w:abstractNumId w:val="81"/>
  </w:num>
  <w:num w:numId="100">
    <w:abstractNumId w:val="46"/>
  </w:num>
  <w:num w:numId="101">
    <w:abstractNumId w:val="87"/>
  </w:num>
  <w:num w:numId="102">
    <w:abstractNumId w:val="65"/>
  </w:num>
  <w:num w:numId="103">
    <w:abstractNumId w:val="112"/>
  </w:num>
  <w:num w:numId="104">
    <w:abstractNumId w:val="98"/>
  </w:num>
  <w:num w:numId="105">
    <w:abstractNumId w:val="25"/>
  </w:num>
  <w:num w:numId="106">
    <w:abstractNumId w:val="30"/>
  </w:num>
  <w:num w:numId="107">
    <w:abstractNumId w:val="23"/>
  </w:num>
  <w:num w:numId="108">
    <w:abstractNumId w:val="5"/>
  </w:num>
  <w:num w:numId="109">
    <w:abstractNumId w:val="108"/>
  </w:num>
  <w:num w:numId="110">
    <w:abstractNumId w:val="79"/>
  </w:num>
  <w:num w:numId="111">
    <w:abstractNumId w:val="2"/>
  </w:num>
  <w:num w:numId="112">
    <w:abstractNumId w:val="80"/>
  </w:num>
  <w:num w:numId="113">
    <w:abstractNumId w:val="68"/>
  </w:num>
  <w:num w:numId="114">
    <w:abstractNumId w:val="95"/>
  </w:num>
  <w:num w:numId="115">
    <w:abstractNumId w:val="18"/>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7C4"/>
    <w:rsid w:val="00006D7F"/>
    <w:rsid w:val="00006FBC"/>
    <w:rsid w:val="00007692"/>
    <w:rsid w:val="00007FF4"/>
    <w:rsid w:val="0001101D"/>
    <w:rsid w:val="0001103D"/>
    <w:rsid w:val="00011F21"/>
    <w:rsid w:val="000124A2"/>
    <w:rsid w:val="00012D16"/>
    <w:rsid w:val="000142E2"/>
    <w:rsid w:val="00014B19"/>
    <w:rsid w:val="00016775"/>
    <w:rsid w:val="000168FF"/>
    <w:rsid w:val="000176A5"/>
    <w:rsid w:val="00017B24"/>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F3B"/>
    <w:rsid w:val="000271FC"/>
    <w:rsid w:val="00027286"/>
    <w:rsid w:val="00027461"/>
    <w:rsid w:val="00027AB5"/>
    <w:rsid w:val="000303FB"/>
    <w:rsid w:val="00030C5B"/>
    <w:rsid w:val="000310F7"/>
    <w:rsid w:val="00031457"/>
    <w:rsid w:val="000314F5"/>
    <w:rsid w:val="00032219"/>
    <w:rsid w:val="00032417"/>
    <w:rsid w:val="00032465"/>
    <w:rsid w:val="00033016"/>
    <w:rsid w:val="00033F4A"/>
    <w:rsid w:val="00034716"/>
    <w:rsid w:val="00034A36"/>
    <w:rsid w:val="00034E03"/>
    <w:rsid w:val="0003557C"/>
    <w:rsid w:val="0003598D"/>
    <w:rsid w:val="00035D7A"/>
    <w:rsid w:val="00036BD8"/>
    <w:rsid w:val="00036C37"/>
    <w:rsid w:val="00036DB2"/>
    <w:rsid w:val="00036E4D"/>
    <w:rsid w:val="000370EE"/>
    <w:rsid w:val="00037E1B"/>
    <w:rsid w:val="00040457"/>
    <w:rsid w:val="00040847"/>
    <w:rsid w:val="00040B88"/>
    <w:rsid w:val="00040BA7"/>
    <w:rsid w:val="00040E9F"/>
    <w:rsid w:val="00041D2E"/>
    <w:rsid w:val="000434BC"/>
    <w:rsid w:val="00043A75"/>
    <w:rsid w:val="00044188"/>
    <w:rsid w:val="00044512"/>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C6C"/>
    <w:rsid w:val="00060D25"/>
    <w:rsid w:val="000627E6"/>
    <w:rsid w:val="00062854"/>
    <w:rsid w:val="00062F88"/>
    <w:rsid w:val="00063A25"/>
    <w:rsid w:val="00063DFD"/>
    <w:rsid w:val="000643D3"/>
    <w:rsid w:val="000647EC"/>
    <w:rsid w:val="00064894"/>
    <w:rsid w:val="000653DA"/>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471"/>
    <w:rsid w:val="000735FD"/>
    <w:rsid w:val="00073791"/>
    <w:rsid w:val="000743C8"/>
    <w:rsid w:val="00074543"/>
    <w:rsid w:val="0007494C"/>
    <w:rsid w:val="00074D2F"/>
    <w:rsid w:val="00074E7D"/>
    <w:rsid w:val="000751E9"/>
    <w:rsid w:val="000754B9"/>
    <w:rsid w:val="0007555C"/>
    <w:rsid w:val="00075C1E"/>
    <w:rsid w:val="00076EC0"/>
    <w:rsid w:val="000777A9"/>
    <w:rsid w:val="00077FB0"/>
    <w:rsid w:val="0008051F"/>
    <w:rsid w:val="00080933"/>
    <w:rsid w:val="00080E75"/>
    <w:rsid w:val="000818F8"/>
    <w:rsid w:val="00081B61"/>
    <w:rsid w:val="00081D9F"/>
    <w:rsid w:val="000822CA"/>
    <w:rsid w:val="000824D7"/>
    <w:rsid w:val="00082BA9"/>
    <w:rsid w:val="00083000"/>
    <w:rsid w:val="00083192"/>
    <w:rsid w:val="000834A4"/>
    <w:rsid w:val="00083C26"/>
    <w:rsid w:val="0008428B"/>
    <w:rsid w:val="00084575"/>
    <w:rsid w:val="00085070"/>
    <w:rsid w:val="00085367"/>
    <w:rsid w:val="000854D0"/>
    <w:rsid w:val="00085554"/>
    <w:rsid w:val="0008794A"/>
    <w:rsid w:val="00090D59"/>
    <w:rsid w:val="00091A23"/>
    <w:rsid w:val="00091E4F"/>
    <w:rsid w:val="0009249B"/>
    <w:rsid w:val="0009277D"/>
    <w:rsid w:val="00093A3C"/>
    <w:rsid w:val="000940F9"/>
    <w:rsid w:val="0009441E"/>
    <w:rsid w:val="00094584"/>
    <w:rsid w:val="00094932"/>
    <w:rsid w:val="000949AC"/>
    <w:rsid w:val="00094FA4"/>
    <w:rsid w:val="00095577"/>
    <w:rsid w:val="00095956"/>
    <w:rsid w:val="00095FE3"/>
    <w:rsid w:val="0009675A"/>
    <w:rsid w:val="00097054"/>
    <w:rsid w:val="000970B7"/>
    <w:rsid w:val="00097124"/>
    <w:rsid w:val="00097AE7"/>
    <w:rsid w:val="000A1906"/>
    <w:rsid w:val="000A25AE"/>
    <w:rsid w:val="000A2AD4"/>
    <w:rsid w:val="000A3642"/>
    <w:rsid w:val="000A3690"/>
    <w:rsid w:val="000A3ABA"/>
    <w:rsid w:val="000A3DD4"/>
    <w:rsid w:val="000A3EA9"/>
    <w:rsid w:val="000A3F94"/>
    <w:rsid w:val="000A44EA"/>
    <w:rsid w:val="000A48D2"/>
    <w:rsid w:val="000A57EE"/>
    <w:rsid w:val="000A6538"/>
    <w:rsid w:val="000A667B"/>
    <w:rsid w:val="000A6B83"/>
    <w:rsid w:val="000A709E"/>
    <w:rsid w:val="000A70DC"/>
    <w:rsid w:val="000A74CB"/>
    <w:rsid w:val="000A788E"/>
    <w:rsid w:val="000B024D"/>
    <w:rsid w:val="000B0A1D"/>
    <w:rsid w:val="000B0BB1"/>
    <w:rsid w:val="000B1E6A"/>
    <w:rsid w:val="000B36A9"/>
    <w:rsid w:val="000B3D21"/>
    <w:rsid w:val="000B3DA3"/>
    <w:rsid w:val="000B4445"/>
    <w:rsid w:val="000B47CC"/>
    <w:rsid w:val="000B4C3F"/>
    <w:rsid w:val="000B5E70"/>
    <w:rsid w:val="000B61B5"/>
    <w:rsid w:val="000B669E"/>
    <w:rsid w:val="000B66A1"/>
    <w:rsid w:val="000B6D6B"/>
    <w:rsid w:val="000B701E"/>
    <w:rsid w:val="000B7161"/>
    <w:rsid w:val="000B7751"/>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6018"/>
    <w:rsid w:val="000C618D"/>
    <w:rsid w:val="000C63F2"/>
    <w:rsid w:val="000C683F"/>
    <w:rsid w:val="000C6DD9"/>
    <w:rsid w:val="000C6E3D"/>
    <w:rsid w:val="000C730D"/>
    <w:rsid w:val="000C73ED"/>
    <w:rsid w:val="000C7A5D"/>
    <w:rsid w:val="000D0257"/>
    <w:rsid w:val="000D046E"/>
    <w:rsid w:val="000D0D07"/>
    <w:rsid w:val="000D0EA0"/>
    <w:rsid w:val="000D1069"/>
    <w:rsid w:val="000D12F0"/>
    <w:rsid w:val="000D1B0E"/>
    <w:rsid w:val="000D22CB"/>
    <w:rsid w:val="000D2728"/>
    <w:rsid w:val="000D285C"/>
    <w:rsid w:val="000D28F2"/>
    <w:rsid w:val="000D305A"/>
    <w:rsid w:val="000D3984"/>
    <w:rsid w:val="000D3E9A"/>
    <w:rsid w:val="000D49B0"/>
    <w:rsid w:val="000D4EAA"/>
    <w:rsid w:val="000D5517"/>
    <w:rsid w:val="000D5577"/>
    <w:rsid w:val="000D64B3"/>
    <w:rsid w:val="000D7C5D"/>
    <w:rsid w:val="000D7DB9"/>
    <w:rsid w:val="000E0C7E"/>
    <w:rsid w:val="000E0DE2"/>
    <w:rsid w:val="000E14C2"/>
    <w:rsid w:val="000E2751"/>
    <w:rsid w:val="000E35D3"/>
    <w:rsid w:val="000E3D7A"/>
    <w:rsid w:val="000E3F62"/>
    <w:rsid w:val="000E461E"/>
    <w:rsid w:val="000E468E"/>
    <w:rsid w:val="000E4B0E"/>
    <w:rsid w:val="000E4CA4"/>
    <w:rsid w:val="000E5038"/>
    <w:rsid w:val="000E5380"/>
    <w:rsid w:val="000E6B0B"/>
    <w:rsid w:val="000E6C6C"/>
    <w:rsid w:val="000E7448"/>
    <w:rsid w:val="000E7465"/>
    <w:rsid w:val="000E7A01"/>
    <w:rsid w:val="000E7C3B"/>
    <w:rsid w:val="000F029A"/>
    <w:rsid w:val="000F0479"/>
    <w:rsid w:val="000F2203"/>
    <w:rsid w:val="000F2BEF"/>
    <w:rsid w:val="000F30D8"/>
    <w:rsid w:val="000F4B74"/>
    <w:rsid w:val="000F5174"/>
    <w:rsid w:val="000F5700"/>
    <w:rsid w:val="000F5FC0"/>
    <w:rsid w:val="000F620B"/>
    <w:rsid w:val="000F684D"/>
    <w:rsid w:val="000F6D86"/>
    <w:rsid w:val="000F7236"/>
    <w:rsid w:val="000F7397"/>
    <w:rsid w:val="000F78B5"/>
    <w:rsid w:val="00100931"/>
    <w:rsid w:val="00100F1D"/>
    <w:rsid w:val="00101B6F"/>
    <w:rsid w:val="00101F35"/>
    <w:rsid w:val="001020BC"/>
    <w:rsid w:val="00102208"/>
    <w:rsid w:val="0010260B"/>
    <w:rsid w:val="00103131"/>
    <w:rsid w:val="001033DC"/>
    <w:rsid w:val="0010354E"/>
    <w:rsid w:val="001038CE"/>
    <w:rsid w:val="00103C32"/>
    <w:rsid w:val="001041DD"/>
    <w:rsid w:val="00104E2D"/>
    <w:rsid w:val="00105500"/>
    <w:rsid w:val="00105A43"/>
    <w:rsid w:val="00105CAF"/>
    <w:rsid w:val="00106380"/>
    <w:rsid w:val="00106510"/>
    <w:rsid w:val="001072C6"/>
    <w:rsid w:val="001072D3"/>
    <w:rsid w:val="0010743E"/>
    <w:rsid w:val="00110014"/>
    <w:rsid w:val="001107FE"/>
    <w:rsid w:val="00110B85"/>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E6D"/>
    <w:rsid w:val="00124F19"/>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5A01"/>
    <w:rsid w:val="00135D12"/>
    <w:rsid w:val="001371DA"/>
    <w:rsid w:val="00137558"/>
    <w:rsid w:val="0013764A"/>
    <w:rsid w:val="00137817"/>
    <w:rsid w:val="00137B33"/>
    <w:rsid w:val="0014042C"/>
    <w:rsid w:val="001407FE"/>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2083"/>
    <w:rsid w:val="0015249A"/>
    <w:rsid w:val="00152AF4"/>
    <w:rsid w:val="001532F6"/>
    <w:rsid w:val="001536FA"/>
    <w:rsid w:val="0015434D"/>
    <w:rsid w:val="001560DF"/>
    <w:rsid w:val="001562AB"/>
    <w:rsid w:val="00156F31"/>
    <w:rsid w:val="00157290"/>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733"/>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98C"/>
    <w:rsid w:val="00171B3B"/>
    <w:rsid w:val="00171BF6"/>
    <w:rsid w:val="0017266A"/>
    <w:rsid w:val="00173067"/>
    <w:rsid w:val="00174AFE"/>
    <w:rsid w:val="00175802"/>
    <w:rsid w:val="001758AC"/>
    <w:rsid w:val="001758DF"/>
    <w:rsid w:val="001759EA"/>
    <w:rsid w:val="00175DF3"/>
    <w:rsid w:val="00176343"/>
    <w:rsid w:val="0017656A"/>
    <w:rsid w:val="00176D7E"/>
    <w:rsid w:val="0017789F"/>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6D66"/>
    <w:rsid w:val="00197D86"/>
    <w:rsid w:val="001A0E58"/>
    <w:rsid w:val="001A1872"/>
    <w:rsid w:val="001A19F7"/>
    <w:rsid w:val="001A22E8"/>
    <w:rsid w:val="001A33B4"/>
    <w:rsid w:val="001A3801"/>
    <w:rsid w:val="001A3939"/>
    <w:rsid w:val="001A397C"/>
    <w:rsid w:val="001A3AD2"/>
    <w:rsid w:val="001A411A"/>
    <w:rsid w:val="001A429C"/>
    <w:rsid w:val="001A4B95"/>
    <w:rsid w:val="001A4E24"/>
    <w:rsid w:val="001A4FE8"/>
    <w:rsid w:val="001A5528"/>
    <w:rsid w:val="001A58B7"/>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578C"/>
    <w:rsid w:val="001C68A3"/>
    <w:rsid w:val="001C6962"/>
    <w:rsid w:val="001C782A"/>
    <w:rsid w:val="001C7C81"/>
    <w:rsid w:val="001D08FF"/>
    <w:rsid w:val="001D0B65"/>
    <w:rsid w:val="001D0BA9"/>
    <w:rsid w:val="001D22A8"/>
    <w:rsid w:val="001D27DC"/>
    <w:rsid w:val="001D3A7D"/>
    <w:rsid w:val="001D3CAE"/>
    <w:rsid w:val="001D431B"/>
    <w:rsid w:val="001D4D5C"/>
    <w:rsid w:val="001D519D"/>
    <w:rsid w:val="001D5650"/>
    <w:rsid w:val="001D62DB"/>
    <w:rsid w:val="001D6639"/>
    <w:rsid w:val="001D6817"/>
    <w:rsid w:val="001D6C8C"/>
    <w:rsid w:val="001D70A3"/>
    <w:rsid w:val="001D76D4"/>
    <w:rsid w:val="001D7FBA"/>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709"/>
    <w:rsid w:val="001F6828"/>
    <w:rsid w:val="001F6E20"/>
    <w:rsid w:val="001F6FFC"/>
    <w:rsid w:val="001F73A1"/>
    <w:rsid w:val="001F7B91"/>
    <w:rsid w:val="00200780"/>
    <w:rsid w:val="00200C61"/>
    <w:rsid w:val="002016D2"/>
    <w:rsid w:val="0020194A"/>
    <w:rsid w:val="00201F84"/>
    <w:rsid w:val="002025F9"/>
    <w:rsid w:val="00202AA7"/>
    <w:rsid w:val="00204650"/>
    <w:rsid w:val="00204DF2"/>
    <w:rsid w:val="00204FD4"/>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7115"/>
    <w:rsid w:val="002171BB"/>
    <w:rsid w:val="00217AA1"/>
    <w:rsid w:val="00220042"/>
    <w:rsid w:val="00220277"/>
    <w:rsid w:val="0022055C"/>
    <w:rsid w:val="002205F8"/>
    <w:rsid w:val="002207DD"/>
    <w:rsid w:val="00220928"/>
    <w:rsid w:val="00220D89"/>
    <w:rsid w:val="00221CEF"/>
    <w:rsid w:val="00222884"/>
    <w:rsid w:val="00222952"/>
    <w:rsid w:val="00223438"/>
    <w:rsid w:val="002245BB"/>
    <w:rsid w:val="00224796"/>
    <w:rsid w:val="00224AEA"/>
    <w:rsid w:val="00224D4D"/>
    <w:rsid w:val="00224E8A"/>
    <w:rsid w:val="002255A5"/>
    <w:rsid w:val="002255EE"/>
    <w:rsid w:val="00226396"/>
    <w:rsid w:val="002265D1"/>
    <w:rsid w:val="00227757"/>
    <w:rsid w:val="00227E16"/>
    <w:rsid w:val="00227EDD"/>
    <w:rsid w:val="002300CB"/>
    <w:rsid w:val="002304E6"/>
    <w:rsid w:val="002317C7"/>
    <w:rsid w:val="00231C06"/>
    <w:rsid w:val="00232B3A"/>
    <w:rsid w:val="00232BCC"/>
    <w:rsid w:val="00232F37"/>
    <w:rsid w:val="00233419"/>
    <w:rsid w:val="002335F1"/>
    <w:rsid w:val="002336A1"/>
    <w:rsid w:val="00233889"/>
    <w:rsid w:val="00234125"/>
    <w:rsid w:val="00235D74"/>
    <w:rsid w:val="0023611D"/>
    <w:rsid w:val="00236144"/>
    <w:rsid w:val="00236A86"/>
    <w:rsid w:val="002373FB"/>
    <w:rsid w:val="00237752"/>
    <w:rsid w:val="00237DEE"/>
    <w:rsid w:val="00240C75"/>
    <w:rsid w:val="00240FC0"/>
    <w:rsid w:val="00241017"/>
    <w:rsid w:val="002413C3"/>
    <w:rsid w:val="0024143B"/>
    <w:rsid w:val="0024197E"/>
    <w:rsid w:val="00244626"/>
    <w:rsid w:val="0024484F"/>
    <w:rsid w:val="002452B7"/>
    <w:rsid w:val="0024576C"/>
    <w:rsid w:val="0024615E"/>
    <w:rsid w:val="00246358"/>
    <w:rsid w:val="00246530"/>
    <w:rsid w:val="0024660C"/>
    <w:rsid w:val="00247852"/>
    <w:rsid w:val="00247F9D"/>
    <w:rsid w:val="00250DB3"/>
    <w:rsid w:val="002510F3"/>
    <w:rsid w:val="0025131A"/>
    <w:rsid w:val="0025146A"/>
    <w:rsid w:val="00251889"/>
    <w:rsid w:val="002526AA"/>
    <w:rsid w:val="00252BE0"/>
    <w:rsid w:val="00252D59"/>
    <w:rsid w:val="002531E0"/>
    <w:rsid w:val="00253675"/>
    <w:rsid w:val="00253BF6"/>
    <w:rsid w:val="00253DEB"/>
    <w:rsid w:val="002548F4"/>
    <w:rsid w:val="00254B54"/>
    <w:rsid w:val="002557C9"/>
    <w:rsid w:val="00255D9C"/>
    <w:rsid w:val="002560F9"/>
    <w:rsid w:val="0025703F"/>
    <w:rsid w:val="0025748E"/>
    <w:rsid w:val="002578D9"/>
    <w:rsid w:val="002600B0"/>
    <w:rsid w:val="00260A1D"/>
    <w:rsid w:val="00260B27"/>
    <w:rsid w:val="00260EC5"/>
    <w:rsid w:val="00261448"/>
    <w:rsid w:val="002621CD"/>
    <w:rsid w:val="00262267"/>
    <w:rsid w:val="00263750"/>
    <w:rsid w:val="00264002"/>
    <w:rsid w:val="00264363"/>
    <w:rsid w:val="002647D2"/>
    <w:rsid w:val="00264FE0"/>
    <w:rsid w:val="00266507"/>
    <w:rsid w:val="00266E0A"/>
    <w:rsid w:val="00266E1F"/>
    <w:rsid w:val="00267484"/>
    <w:rsid w:val="00267952"/>
    <w:rsid w:val="00267EF8"/>
    <w:rsid w:val="002703A8"/>
    <w:rsid w:val="002706D6"/>
    <w:rsid w:val="00270992"/>
    <w:rsid w:val="002709D2"/>
    <w:rsid w:val="00270C89"/>
    <w:rsid w:val="002710A1"/>
    <w:rsid w:val="002721C8"/>
    <w:rsid w:val="00272DDD"/>
    <w:rsid w:val="00272EE5"/>
    <w:rsid w:val="00273108"/>
    <w:rsid w:val="00273E39"/>
    <w:rsid w:val="00273E7B"/>
    <w:rsid w:val="002746F7"/>
    <w:rsid w:val="00274E01"/>
    <w:rsid w:val="00274E05"/>
    <w:rsid w:val="00274ECC"/>
    <w:rsid w:val="002754D1"/>
    <w:rsid w:val="00275E00"/>
    <w:rsid w:val="00276090"/>
    <w:rsid w:val="002763AB"/>
    <w:rsid w:val="002763BD"/>
    <w:rsid w:val="00277213"/>
    <w:rsid w:val="00277273"/>
    <w:rsid w:val="002779D9"/>
    <w:rsid w:val="00277B9E"/>
    <w:rsid w:val="00277C68"/>
    <w:rsid w:val="00280722"/>
    <w:rsid w:val="00280A28"/>
    <w:rsid w:val="00280C33"/>
    <w:rsid w:val="00281143"/>
    <w:rsid w:val="00281B3D"/>
    <w:rsid w:val="00281B8F"/>
    <w:rsid w:val="0028248E"/>
    <w:rsid w:val="00282591"/>
    <w:rsid w:val="00282CAB"/>
    <w:rsid w:val="00282F65"/>
    <w:rsid w:val="002835FF"/>
    <w:rsid w:val="00283AD7"/>
    <w:rsid w:val="00283B03"/>
    <w:rsid w:val="00284048"/>
    <w:rsid w:val="00284255"/>
    <w:rsid w:val="002846B1"/>
    <w:rsid w:val="00284B27"/>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9B4"/>
    <w:rsid w:val="002A1C28"/>
    <w:rsid w:val="002A22B1"/>
    <w:rsid w:val="002A2509"/>
    <w:rsid w:val="002A2D62"/>
    <w:rsid w:val="002A57AB"/>
    <w:rsid w:val="002A58D6"/>
    <w:rsid w:val="002A5EF9"/>
    <w:rsid w:val="002A64E9"/>
    <w:rsid w:val="002A6563"/>
    <w:rsid w:val="002A668F"/>
    <w:rsid w:val="002A7699"/>
    <w:rsid w:val="002A795B"/>
    <w:rsid w:val="002A7C84"/>
    <w:rsid w:val="002A7FA5"/>
    <w:rsid w:val="002B1708"/>
    <w:rsid w:val="002B28DF"/>
    <w:rsid w:val="002B3245"/>
    <w:rsid w:val="002B35C9"/>
    <w:rsid w:val="002B374B"/>
    <w:rsid w:val="002B3D3B"/>
    <w:rsid w:val="002B4167"/>
    <w:rsid w:val="002B42F3"/>
    <w:rsid w:val="002B4F7B"/>
    <w:rsid w:val="002B617B"/>
    <w:rsid w:val="002B6307"/>
    <w:rsid w:val="002B64DE"/>
    <w:rsid w:val="002B687A"/>
    <w:rsid w:val="002B6E2E"/>
    <w:rsid w:val="002B7154"/>
    <w:rsid w:val="002B7510"/>
    <w:rsid w:val="002B75FF"/>
    <w:rsid w:val="002B7A67"/>
    <w:rsid w:val="002B7DDF"/>
    <w:rsid w:val="002B7E0E"/>
    <w:rsid w:val="002C07C6"/>
    <w:rsid w:val="002C0F7B"/>
    <w:rsid w:val="002C1076"/>
    <w:rsid w:val="002C2805"/>
    <w:rsid w:val="002C4761"/>
    <w:rsid w:val="002C4820"/>
    <w:rsid w:val="002C4B39"/>
    <w:rsid w:val="002C5347"/>
    <w:rsid w:val="002C5964"/>
    <w:rsid w:val="002C5B49"/>
    <w:rsid w:val="002C5BC4"/>
    <w:rsid w:val="002C5C42"/>
    <w:rsid w:val="002C5D4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FF0"/>
    <w:rsid w:val="002D7107"/>
    <w:rsid w:val="002D754D"/>
    <w:rsid w:val="002D7602"/>
    <w:rsid w:val="002D7680"/>
    <w:rsid w:val="002D76F3"/>
    <w:rsid w:val="002D7801"/>
    <w:rsid w:val="002E06B3"/>
    <w:rsid w:val="002E0980"/>
    <w:rsid w:val="002E0A41"/>
    <w:rsid w:val="002E10B1"/>
    <w:rsid w:val="002E17A0"/>
    <w:rsid w:val="002E1D0D"/>
    <w:rsid w:val="002E1D57"/>
    <w:rsid w:val="002E20FE"/>
    <w:rsid w:val="002E2446"/>
    <w:rsid w:val="002E2481"/>
    <w:rsid w:val="002E278D"/>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F31"/>
    <w:rsid w:val="00301D4D"/>
    <w:rsid w:val="00302881"/>
    <w:rsid w:val="00302991"/>
    <w:rsid w:val="003029B2"/>
    <w:rsid w:val="00302A5F"/>
    <w:rsid w:val="00302BC5"/>
    <w:rsid w:val="00302F97"/>
    <w:rsid w:val="003033D8"/>
    <w:rsid w:val="003038D5"/>
    <w:rsid w:val="00303CC8"/>
    <w:rsid w:val="00303DE5"/>
    <w:rsid w:val="003048C9"/>
    <w:rsid w:val="0030581F"/>
    <w:rsid w:val="00305BFA"/>
    <w:rsid w:val="003063CA"/>
    <w:rsid w:val="003067EB"/>
    <w:rsid w:val="0030790D"/>
    <w:rsid w:val="00307D8F"/>
    <w:rsid w:val="00310A76"/>
    <w:rsid w:val="0031134D"/>
    <w:rsid w:val="00311D40"/>
    <w:rsid w:val="00312331"/>
    <w:rsid w:val="0031390F"/>
    <w:rsid w:val="00314BAF"/>
    <w:rsid w:val="003154B1"/>
    <w:rsid w:val="00315559"/>
    <w:rsid w:val="0031599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CCD"/>
    <w:rsid w:val="0033513C"/>
    <w:rsid w:val="00335685"/>
    <w:rsid w:val="00335968"/>
    <w:rsid w:val="0033601B"/>
    <w:rsid w:val="0033642D"/>
    <w:rsid w:val="003371D6"/>
    <w:rsid w:val="003375AB"/>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F7"/>
    <w:rsid w:val="00346752"/>
    <w:rsid w:val="00346985"/>
    <w:rsid w:val="00346DA0"/>
    <w:rsid w:val="00347136"/>
    <w:rsid w:val="00347194"/>
    <w:rsid w:val="00347239"/>
    <w:rsid w:val="003472BD"/>
    <w:rsid w:val="00347388"/>
    <w:rsid w:val="00347407"/>
    <w:rsid w:val="00347C45"/>
    <w:rsid w:val="00350973"/>
    <w:rsid w:val="00350D93"/>
    <w:rsid w:val="003512CD"/>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851"/>
    <w:rsid w:val="0035794D"/>
    <w:rsid w:val="0036009D"/>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A51"/>
    <w:rsid w:val="003724F2"/>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C90"/>
    <w:rsid w:val="00377D3B"/>
    <w:rsid w:val="00380CB2"/>
    <w:rsid w:val="00380E73"/>
    <w:rsid w:val="00380F77"/>
    <w:rsid w:val="00381206"/>
    <w:rsid w:val="0038216F"/>
    <w:rsid w:val="0038263D"/>
    <w:rsid w:val="00382936"/>
    <w:rsid w:val="00383C79"/>
    <w:rsid w:val="0038462D"/>
    <w:rsid w:val="00384FFC"/>
    <w:rsid w:val="003857C2"/>
    <w:rsid w:val="003859BF"/>
    <w:rsid w:val="00386E21"/>
    <w:rsid w:val="00387590"/>
    <w:rsid w:val="00387966"/>
    <w:rsid w:val="003902B5"/>
    <w:rsid w:val="00390509"/>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6DC"/>
    <w:rsid w:val="0039678C"/>
    <w:rsid w:val="00396871"/>
    <w:rsid w:val="003970BD"/>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4B43"/>
    <w:rsid w:val="003A5868"/>
    <w:rsid w:val="003A6390"/>
    <w:rsid w:val="003A7345"/>
    <w:rsid w:val="003A7DC4"/>
    <w:rsid w:val="003B02BE"/>
    <w:rsid w:val="003B0429"/>
    <w:rsid w:val="003B054B"/>
    <w:rsid w:val="003B1566"/>
    <w:rsid w:val="003B1983"/>
    <w:rsid w:val="003B1C43"/>
    <w:rsid w:val="003B28B1"/>
    <w:rsid w:val="003B2A65"/>
    <w:rsid w:val="003B3EF8"/>
    <w:rsid w:val="003B46BF"/>
    <w:rsid w:val="003B4868"/>
    <w:rsid w:val="003B55C6"/>
    <w:rsid w:val="003B564C"/>
    <w:rsid w:val="003B5B43"/>
    <w:rsid w:val="003B61E9"/>
    <w:rsid w:val="003B6F5E"/>
    <w:rsid w:val="003B791E"/>
    <w:rsid w:val="003B7AD8"/>
    <w:rsid w:val="003B7CBB"/>
    <w:rsid w:val="003C0922"/>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1EA3"/>
    <w:rsid w:val="003D1FE8"/>
    <w:rsid w:val="003D2459"/>
    <w:rsid w:val="003D2976"/>
    <w:rsid w:val="003D2B51"/>
    <w:rsid w:val="003D2CE8"/>
    <w:rsid w:val="003D2D61"/>
    <w:rsid w:val="003D40DF"/>
    <w:rsid w:val="003D424B"/>
    <w:rsid w:val="003D436C"/>
    <w:rsid w:val="003D4B0D"/>
    <w:rsid w:val="003D4BC3"/>
    <w:rsid w:val="003D4F93"/>
    <w:rsid w:val="003D50B6"/>
    <w:rsid w:val="003D5302"/>
    <w:rsid w:val="003D5844"/>
    <w:rsid w:val="003D5A0D"/>
    <w:rsid w:val="003D6254"/>
    <w:rsid w:val="003D6630"/>
    <w:rsid w:val="003D67D9"/>
    <w:rsid w:val="003D6AF4"/>
    <w:rsid w:val="003D6D42"/>
    <w:rsid w:val="003D7597"/>
    <w:rsid w:val="003E050D"/>
    <w:rsid w:val="003E06ED"/>
    <w:rsid w:val="003E07AA"/>
    <w:rsid w:val="003E0ABD"/>
    <w:rsid w:val="003E1348"/>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40DA"/>
    <w:rsid w:val="003F4522"/>
    <w:rsid w:val="003F4693"/>
    <w:rsid w:val="003F490B"/>
    <w:rsid w:val="003F548D"/>
    <w:rsid w:val="003F54AC"/>
    <w:rsid w:val="003F5736"/>
    <w:rsid w:val="003F601C"/>
    <w:rsid w:val="003F626E"/>
    <w:rsid w:val="003F672D"/>
    <w:rsid w:val="003F6A6C"/>
    <w:rsid w:val="003F76F4"/>
    <w:rsid w:val="004016F0"/>
    <w:rsid w:val="0040246A"/>
    <w:rsid w:val="004025BA"/>
    <w:rsid w:val="00402DEA"/>
    <w:rsid w:val="0040309B"/>
    <w:rsid w:val="004036F6"/>
    <w:rsid w:val="00403E06"/>
    <w:rsid w:val="00403F3B"/>
    <w:rsid w:val="004040B0"/>
    <w:rsid w:val="00404A2A"/>
    <w:rsid w:val="00404BD0"/>
    <w:rsid w:val="00405978"/>
    <w:rsid w:val="00405A32"/>
    <w:rsid w:val="00405EED"/>
    <w:rsid w:val="004068CA"/>
    <w:rsid w:val="00406FD8"/>
    <w:rsid w:val="004077C4"/>
    <w:rsid w:val="00407A10"/>
    <w:rsid w:val="00407CF7"/>
    <w:rsid w:val="00410160"/>
    <w:rsid w:val="00410D56"/>
    <w:rsid w:val="00411D74"/>
    <w:rsid w:val="00412726"/>
    <w:rsid w:val="004127EC"/>
    <w:rsid w:val="00412A84"/>
    <w:rsid w:val="004132E7"/>
    <w:rsid w:val="004138A6"/>
    <w:rsid w:val="00413EB8"/>
    <w:rsid w:val="00414167"/>
    <w:rsid w:val="004145D0"/>
    <w:rsid w:val="00414842"/>
    <w:rsid w:val="00414B07"/>
    <w:rsid w:val="00414B4F"/>
    <w:rsid w:val="00415FC3"/>
    <w:rsid w:val="0041610A"/>
    <w:rsid w:val="00416460"/>
    <w:rsid w:val="004164D6"/>
    <w:rsid w:val="0041676B"/>
    <w:rsid w:val="004169EC"/>
    <w:rsid w:val="0041707C"/>
    <w:rsid w:val="004178CD"/>
    <w:rsid w:val="00417B5B"/>
    <w:rsid w:val="004206D2"/>
    <w:rsid w:val="00420F96"/>
    <w:rsid w:val="0042148A"/>
    <w:rsid w:val="00421D77"/>
    <w:rsid w:val="00421DB4"/>
    <w:rsid w:val="004221C7"/>
    <w:rsid w:val="00422ECD"/>
    <w:rsid w:val="004235B0"/>
    <w:rsid w:val="0042368D"/>
    <w:rsid w:val="00424082"/>
    <w:rsid w:val="0042442A"/>
    <w:rsid w:val="00424EF7"/>
    <w:rsid w:val="004257D7"/>
    <w:rsid w:val="0042644A"/>
    <w:rsid w:val="00426AC3"/>
    <w:rsid w:val="0042793D"/>
    <w:rsid w:val="00427FEF"/>
    <w:rsid w:val="004306B9"/>
    <w:rsid w:val="004306BE"/>
    <w:rsid w:val="00430AE4"/>
    <w:rsid w:val="00430F03"/>
    <w:rsid w:val="00431254"/>
    <w:rsid w:val="0043146E"/>
    <w:rsid w:val="0043198F"/>
    <w:rsid w:val="00432304"/>
    <w:rsid w:val="004328C2"/>
    <w:rsid w:val="00433EE7"/>
    <w:rsid w:val="00434257"/>
    <w:rsid w:val="00434B5D"/>
    <w:rsid w:val="00434F2E"/>
    <w:rsid w:val="00435D45"/>
    <w:rsid w:val="00436121"/>
    <w:rsid w:val="00436526"/>
    <w:rsid w:val="00436D66"/>
    <w:rsid w:val="0044060D"/>
    <w:rsid w:val="00440F9B"/>
    <w:rsid w:val="0044155C"/>
    <w:rsid w:val="00441561"/>
    <w:rsid w:val="00441746"/>
    <w:rsid w:val="004418D0"/>
    <w:rsid w:val="00442403"/>
    <w:rsid w:val="00442FDB"/>
    <w:rsid w:val="00443644"/>
    <w:rsid w:val="0044377D"/>
    <w:rsid w:val="00444424"/>
    <w:rsid w:val="004445E7"/>
    <w:rsid w:val="00445661"/>
    <w:rsid w:val="004456DC"/>
    <w:rsid w:val="00445B9F"/>
    <w:rsid w:val="004473BF"/>
    <w:rsid w:val="0044761F"/>
    <w:rsid w:val="004503DA"/>
    <w:rsid w:val="00450647"/>
    <w:rsid w:val="004506D5"/>
    <w:rsid w:val="004508B6"/>
    <w:rsid w:val="00450CAD"/>
    <w:rsid w:val="00450EC1"/>
    <w:rsid w:val="004539AA"/>
    <w:rsid w:val="00453E4C"/>
    <w:rsid w:val="00454946"/>
    <w:rsid w:val="0045514B"/>
    <w:rsid w:val="00455529"/>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4551"/>
    <w:rsid w:val="004653A4"/>
    <w:rsid w:val="00465EE5"/>
    <w:rsid w:val="00466405"/>
    <w:rsid w:val="00466A54"/>
    <w:rsid w:val="0046791B"/>
    <w:rsid w:val="00467D01"/>
    <w:rsid w:val="00471968"/>
    <w:rsid w:val="00471EA7"/>
    <w:rsid w:val="00472AF4"/>
    <w:rsid w:val="00472BC4"/>
    <w:rsid w:val="00472C88"/>
    <w:rsid w:val="00472F18"/>
    <w:rsid w:val="004739EF"/>
    <w:rsid w:val="00473C8F"/>
    <w:rsid w:val="004745AF"/>
    <w:rsid w:val="004747D4"/>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041"/>
    <w:rsid w:val="004A46CC"/>
    <w:rsid w:val="004A4911"/>
    <w:rsid w:val="004A4C61"/>
    <w:rsid w:val="004A5140"/>
    <w:rsid w:val="004A531E"/>
    <w:rsid w:val="004A54D7"/>
    <w:rsid w:val="004A5679"/>
    <w:rsid w:val="004A5E11"/>
    <w:rsid w:val="004A606F"/>
    <w:rsid w:val="004A616F"/>
    <w:rsid w:val="004A618F"/>
    <w:rsid w:val="004A6466"/>
    <w:rsid w:val="004A6C86"/>
    <w:rsid w:val="004A6CE4"/>
    <w:rsid w:val="004A7C03"/>
    <w:rsid w:val="004A7CB6"/>
    <w:rsid w:val="004B11AB"/>
    <w:rsid w:val="004B12B7"/>
    <w:rsid w:val="004B14A6"/>
    <w:rsid w:val="004B173C"/>
    <w:rsid w:val="004B1F1F"/>
    <w:rsid w:val="004B38EE"/>
    <w:rsid w:val="004B4384"/>
    <w:rsid w:val="004B4FFD"/>
    <w:rsid w:val="004B53E6"/>
    <w:rsid w:val="004B6310"/>
    <w:rsid w:val="004B64F6"/>
    <w:rsid w:val="004B67CC"/>
    <w:rsid w:val="004B6A26"/>
    <w:rsid w:val="004B6D62"/>
    <w:rsid w:val="004B73FD"/>
    <w:rsid w:val="004B7AF5"/>
    <w:rsid w:val="004C0023"/>
    <w:rsid w:val="004C06C8"/>
    <w:rsid w:val="004C0726"/>
    <w:rsid w:val="004C08E8"/>
    <w:rsid w:val="004C1000"/>
    <w:rsid w:val="004C1428"/>
    <w:rsid w:val="004C1E53"/>
    <w:rsid w:val="004C2130"/>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123B"/>
    <w:rsid w:val="004D1328"/>
    <w:rsid w:val="004D1383"/>
    <w:rsid w:val="004D1E44"/>
    <w:rsid w:val="004D282A"/>
    <w:rsid w:val="004D2DF9"/>
    <w:rsid w:val="004D32BA"/>
    <w:rsid w:val="004D3866"/>
    <w:rsid w:val="004D412F"/>
    <w:rsid w:val="004D499E"/>
    <w:rsid w:val="004D54C1"/>
    <w:rsid w:val="004D5DEE"/>
    <w:rsid w:val="004D62B7"/>
    <w:rsid w:val="004D6521"/>
    <w:rsid w:val="004D6553"/>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641"/>
    <w:rsid w:val="004F7D7A"/>
    <w:rsid w:val="004F7EB5"/>
    <w:rsid w:val="004F7F59"/>
    <w:rsid w:val="00502648"/>
    <w:rsid w:val="005028A6"/>
    <w:rsid w:val="00502A77"/>
    <w:rsid w:val="0050343D"/>
    <w:rsid w:val="0050375E"/>
    <w:rsid w:val="00504ECA"/>
    <w:rsid w:val="00505140"/>
    <w:rsid w:val="00505422"/>
    <w:rsid w:val="005057DE"/>
    <w:rsid w:val="00505FF4"/>
    <w:rsid w:val="005066FB"/>
    <w:rsid w:val="00506C97"/>
    <w:rsid w:val="00507711"/>
    <w:rsid w:val="00507DEF"/>
    <w:rsid w:val="0051012E"/>
    <w:rsid w:val="005106EC"/>
    <w:rsid w:val="0051084F"/>
    <w:rsid w:val="00510A70"/>
    <w:rsid w:val="00510EBA"/>
    <w:rsid w:val="0051119D"/>
    <w:rsid w:val="00511B48"/>
    <w:rsid w:val="00512FE0"/>
    <w:rsid w:val="00513960"/>
    <w:rsid w:val="00513A1A"/>
    <w:rsid w:val="00513A25"/>
    <w:rsid w:val="005140D9"/>
    <w:rsid w:val="00514221"/>
    <w:rsid w:val="005153BC"/>
    <w:rsid w:val="00515B75"/>
    <w:rsid w:val="00515E23"/>
    <w:rsid w:val="0051642E"/>
    <w:rsid w:val="0051655E"/>
    <w:rsid w:val="00517E0F"/>
    <w:rsid w:val="00520A16"/>
    <w:rsid w:val="00521CFB"/>
    <w:rsid w:val="005229BB"/>
    <w:rsid w:val="00523433"/>
    <w:rsid w:val="005234CC"/>
    <w:rsid w:val="00523595"/>
    <w:rsid w:val="005238C1"/>
    <w:rsid w:val="005238D3"/>
    <w:rsid w:val="005244A0"/>
    <w:rsid w:val="0052450D"/>
    <w:rsid w:val="00524982"/>
    <w:rsid w:val="00525644"/>
    <w:rsid w:val="00525A9D"/>
    <w:rsid w:val="00525BD3"/>
    <w:rsid w:val="00525D08"/>
    <w:rsid w:val="005260D8"/>
    <w:rsid w:val="005263F5"/>
    <w:rsid w:val="00526B00"/>
    <w:rsid w:val="00526C31"/>
    <w:rsid w:val="00526EBE"/>
    <w:rsid w:val="0052720E"/>
    <w:rsid w:val="00527CD4"/>
    <w:rsid w:val="00530526"/>
    <w:rsid w:val="005309BA"/>
    <w:rsid w:val="00530F71"/>
    <w:rsid w:val="0053139E"/>
    <w:rsid w:val="00531D01"/>
    <w:rsid w:val="0053243A"/>
    <w:rsid w:val="00532990"/>
    <w:rsid w:val="00532D0A"/>
    <w:rsid w:val="00532F49"/>
    <w:rsid w:val="0053370E"/>
    <w:rsid w:val="005338B3"/>
    <w:rsid w:val="00533D7E"/>
    <w:rsid w:val="00534074"/>
    <w:rsid w:val="00534116"/>
    <w:rsid w:val="00534B87"/>
    <w:rsid w:val="00534E60"/>
    <w:rsid w:val="00536187"/>
    <w:rsid w:val="005374BC"/>
    <w:rsid w:val="0054011F"/>
    <w:rsid w:val="00541144"/>
    <w:rsid w:val="005414F9"/>
    <w:rsid w:val="00541821"/>
    <w:rsid w:val="00541C65"/>
    <w:rsid w:val="0054244F"/>
    <w:rsid w:val="00542AC3"/>
    <w:rsid w:val="005431F4"/>
    <w:rsid w:val="005431FA"/>
    <w:rsid w:val="005437A9"/>
    <w:rsid w:val="005439A0"/>
    <w:rsid w:val="00543EF9"/>
    <w:rsid w:val="00544DA0"/>
    <w:rsid w:val="00545FA8"/>
    <w:rsid w:val="00546218"/>
    <w:rsid w:val="0054641F"/>
    <w:rsid w:val="00546843"/>
    <w:rsid w:val="00546E11"/>
    <w:rsid w:val="005502D1"/>
    <w:rsid w:val="005507D4"/>
    <w:rsid w:val="00550803"/>
    <w:rsid w:val="005508C0"/>
    <w:rsid w:val="00550E13"/>
    <w:rsid w:val="00550EF1"/>
    <w:rsid w:val="0055101C"/>
    <w:rsid w:val="00551917"/>
    <w:rsid w:val="00552D97"/>
    <w:rsid w:val="00552EAD"/>
    <w:rsid w:val="00552FC4"/>
    <w:rsid w:val="0055404E"/>
    <w:rsid w:val="005544A4"/>
    <w:rsid w:val="00554970"/>
    <w:rsid w:val="005557FA"/>
    <w:rsid w:val="00555E6F"/>
    <w:rsid w:val="00556189"/>
    <w:rsid w:val="0055628F"/>
    <w:rsid w:val="005563BC"/>
    <w:rsid w:val="00556C5C"/>
    <w:rsid w:val="00556EBF"/>
    <w:rsid w:val="00557D2C"/>
    <w:rsid w:val="00557F72"/>
    <w:rsid w:val="00560229"/>
    <w:rsid w:val="005602D1"/>
    <w:rsid w:val="00560345"/>
    <w:rsid w:val="005609A6"/>
    <w:rsid w:val="00560AB1"/>
    <w:rsid w:val="00561314"/>
    <w:rsid w:val="00562B26"/>
    <w:rsid w:val="00562E90"/>
    <w:rsid w:val="005631BB"/>
    <w:rsid w:val="00563241"/>
    <w:rsid w:val="00563905"/>
    <w:rsid w:val="005641FB"/>
    <w:rsid w:val="0056520A"/>
    <w:rsid w:val="005652B0"/>
    <w:rsid w:val="005655F8"/>
    <w:rsid w:val="00565CAE"/>
    <w:rsid w:val="00567ACF"/>
    <w:rsid w:val="00567B0A"/>
    <w:rsid w:val="00567BFD"/>
    <w:rsid w:val="00570775"/>
    <w:rsid w:val="00570AE1"/>
    <w:rsid w:val="00570C84"/>
    <w:rsid w:val="00570FA4"/>
    <w:rsid w:val="005710B4"/>
    <w:rsid w:val="00571126"/>
    <w:rsid w:val="00571C9A"/>
    <w:rsid w:val="005722A1"/>
    <w:rsid w:val="005722E2"/>
    <w:rsid w:val="0057239C"/>
    <w:rsid w:val="005724A6"/>
    <w:rsid w:val="0057284A"/>
    <w:rsid w:val="00573D9A"/>
    <w:rsid w:val="00573EA6"/>
    <w:rsid w:val="005743DA"/>
    <w:rsid w:val="00574752"/>
    <w:rsid w:val="00574AC5"/>
    <w:rsid w:val="00574D00"/>
    <w:rsid w:val="005752E0"/>
    <w:rsid w:val="00575791"/>
    <w:rsid w:val="005764B4"/>
    <w:rsid w:val="00576AFA"/>
    <w:rsid w:val="00577329"/>
    <w:rsid w:val="00577450"/>
    <w:rsid w:val="0057766C"/>
    <w:rsid w:val="005776D0"/>
    <w:rsid w:val="005779A5"/>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3E66"/>
    <w:rsid w:val="005B4CAD"/>
    <w:rsid w:val="005B4CBA"/>
    <w:rsid w:val="005B4E16"/>
    <w:rsid w:val="005B5500"/>
    <w:rsid w:val="005B5A86"/>
    <w:rsid w:val="005B5C10"/>
    <w:rsid w:val="005B63EF"/>
    <w:rsid w:val="005B7D91"/>
    <w:rsid w:val="005B7DE0"/>
    <w:rsid w:val="005C00EC"/>
    <w:rsid w:val="005C0191"/>
    <w:rsid w:val="005C056B"/>
    <w:rsid w:val="005C0626"/>
    <w:rsid w:val="005C0840"/>
    <w:rsid w:val="005C09A6"/>
    <w:rsid w:val="005C0C63"/>
    <w:rsid w:val="005C0EAF"/>
    <w:rsid w:val="005C0EE4"/>
    <w:rsid w:val="005C10F8"/>
    <w:rsid w:val="005C1B77"/>
    <w:rsid w:val="005C1F1A"/>
    <w:rsid w:val="005C38CB"/>
    <w:rsid w:val="005C3923"/>
    <w:rsid w:val="005C3D6C"/>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4B2D"/>
    <w:rsid w:val="005D51D9"/>
    <w:rsid w:val="005D6000"/>
    <w:rsid w:val="005D604F"/>
    <w:rsid w:val="005D670E"/>
    <w:rsid w:val="005E02F1"/>
    <w:rsid w:val="005E051A"/>
    <w:rsid w:val="005E1B57"/>
    <w:rsid w:val="005E215D"/>
    <w:rsid w:val="005E3330"/>
    <w:rsid w:val="005E37DE"/>
    <w:rsid w:val="005E421D"/>
    <w:rsid w:val="005E44E8"/>
    <w:rsid w:val="005E4740"/>
    <w:rsid w:val="005E5E18"/>
    <w:rsid w:val="005E6319"/>
    <w:rsid w:val="005E643E"/>
    <w:rsid w:val="005E6851"/>
    <w:rsid w:val="005E6C97"/>
    <w:rsid w:val="005E6F58"/>
    <w:rsid w:val="005F0693"/>
    <w:rsid w:val="005F1143"/>
    <w:rsid w:val="005F12FA"/>
    <w:rsid w:val="005F16AB"/>
    <w:rsid w:val="005F1AB2"/>
    <w:rsid w:val="005F1E04"/>
    <w:rsid w:val="005F243B"/>
    <w:rsid w:val="005F3291"/>
    <w:rsid w:val="005F3BBA"/>
    <w:rsid w:val="005F4D43"/>
    <w:rsid w:val="005F4F3D"/>
    <w:rsid w:val="005F5C6C"/>
    <w:rsid w:val="005F5EA3"/>
    <w:rsid w:val="005F775A"/>
    <w:rsid w:val="005F7D1A"/>
    <w:rsid w:val="005F7F8E"/>
    <w:rsid w:val="00600867"/>
    <w:rsid w:val="006008A0"/>
    <w:rsid w:val="006008AF"/>
    <w:rsid w:val="00600C9F"/>
    <w:rsid w:val="00601351"/>
    <w:rsid w:val="006017E0"/>
    <w:rsid w:val="00602261"/>
    <w:rsid w:val="0060226D"/>
    <w:rsid w:val="00602F9D"/>
    <w:rsid w:val="006038C1"/>
    <w:rsid w:val="0060536C"/>
    <w:rsid w:val="00605F7E"/>
    <w:rsid w:val="006062A4"/>
    <w:rsid w:val="00606405"/>
    <w:rsid w:val="00606A3A"/>
    <w:rsid w:val="00606BC7"/>
    <w:rsid w:val="00607315"/>
    <w:rsid w:val="006073E6"/>
    <w:rsid w:val="0060788D"/>
    <w:rsid w:val="00610E17"/>
    <w:rsid w:val="00610EEA"/>
    <w:rsid w:val="006115B5"/>
    <w:rsid w:val="006115F9"/>
    <w:rsid w:val="00611CAA"/>
    <w:rsid w:val="00611E51"/>
    <w:rsid w:val="0061250D"/>
    <w:rsid w:val="0061357E"/>
    <w:rsid w:val="006140FA"/>
    <w:rsid w:val="00614307"/>
    <w:rsid w:val="00614746"/>
    <w:rsid w:val="006147A3"/>
    <w:rsid w:val="00614BFC"/>
    <w:rsid w:val="006159D2"/>
    <w:rsid w:val="00615AC7"/>
    <w:rsid w:val="00615B2D"/>
    <w:rsid w:val="00615C3A"/>
    <w:rsid w:val="00616CE3"/>
    <w:rsid w:val="00616F42"/>
    <w:rsid w:val="00617706"/>
    <w:rsid w:val="00621251"/>
    <w:rsid w:val="006218BD"/>
    <w:rsid w:val="00621957"/>
    <w:rsid w:val="00621B55"/>
    <w:rsid w:val="00622224"/>
    <w:rsid w:val="006228C0"/>
    <w:rsid w:val="00622962"/>
    <w:rsid w:val="00623209"/>
    <w:rsid w:val="006236CF"/>
    <w:rsid w:val="00623704"/>
    <w:rsid w:val="00623D70"/>
    <w:rsid w:val="0062459E"/>
    <w:rsid w:val="00624B0B"/>
    <w:rsid w:val="00624DC2"/>
    <w:rsid w:val="006255F4"/>
    <w:rsid w:val="00625919"/>
    <w:rsid w:val="00625C2A"/>
    <w:rsid w:val="00626463"/>
    <w:rsid w:val="006266E4"/>
    <w:rsid w:val="0062736D"/>
    <w:rsid w:val="00627B35"/>
    <w:rsid w:val="00630662"/>
    <w:rsid w:val="00631B15"/>
    <w:rsid w:val="00631C47"/>
    <w:rsid w:val="00631EA1"/>
    <w:rsid w:val="0063226E"/>
    <w:rsid w:val="006325AF"/>
    <w:rsid w:val="006327CF"/>
    <w:rsid w:val="006328F5"/>
    <w:rsid w:val="006329AE"/>
    <w:rsid w:val="006329C7"/>
    <w:rsid w:val="00633B83"/>
    <w:rsid w:val="00633DAC"/>
    <w:rsid w:val="00634E49"/>
    <w:rsid w:val="006357A9"/>
    <w:rsid w:val="00635B64"/>
    <w:rsid w:val="0063694E"/>
    <w:rsid w:val="00636BED"/>
    <w:rsid w:val="00636C0F"/>
    <w:rsid w:val="00637A59"/>
    <w:rsid w:val="00637DE4"/>
    <w:rsid w:val="006401E5"/>
    <w:rsid w:val="00640205"/>
    <w:rsid w:val="00640289"/>
    <w:rsid w:val="00640326"/>
    <w:rsid w:val="00640413"/>
    <w:rsid w:val="00640A58"/>
    <w:rsid w:val="0064173D"/>
    <w:rsid w:val="0064241F"/>
    <w:rsid w:val="006424D6"/>
    <w:rsid w:val="00642A8B"/>
    <w:rsid w:val="006433ED"/>
    <w:rsid w:val="00643753"/>
    <w:rsid w:val="006438A6"/>
    <w:rsid w:val="00644A67"/>
    <w:rsid w:val="00644FA4"/>
    <w:rsid w:val="006457E8"/>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72A3"/>
    <w:rsid w:val="0065738A"/>
    <w:rsid w:val="006577A2"/>
    <w:rsid w:val="006600BF"/>
    <w:rsid w:val="00660B38"/>
    <w:rsid w:val="00660F15"/>
    <w:rsid w:val="006620EF"/>
    <w:rsid w:val="006621C0"/>
    <w:rsid w:val="006623B0"/>
    <w:rsid w:val="00662B41"/>
    <w:rsid w:val="006639B8"/>
    <w:rsid w:val="00664561"/>
    <w:rsid w:val="00665FF9"/>
    <w:rsid w:val="00666AC8"/>
    <w:rsid w:val="00667313"/>
    <w:rsid w:val="006678DA"/>
    <w:rsid w:val="00667A53"/>
    <w:rsid w:val="00670284"/>
    <w:rsid w:val="006705A5"/>
    <w:rsid w:val="0067095A"/>
    <w:rsid w:val="006716B6"/>
    <w:rsid w:val="006719C8"/>
    <w:rsid w:val="00672FF6"/>
    <w:rsid w:val="00673478"/>
    <w:rsid w:val="006739C3"/>
    <w:rsid w:val="00673AFE"/>
    <w:rsid w:val="0067438F"/>
    <w:rsid w:val="00674670"/>
    <w:rsid w:val="00674BCE"/>
    <w:rsid w:val="00674FB6"/>
    <w:rsid w:val="00675571"/>
    <w:rsid w:val="00676BDC"/>
    <w:rsid w:val="00676C50"/>
    <w:rsid w:val="00676D26"/>
    <w:rsid w:val="00676E31"/>
    <w:rsid w:val="006770B3"/>
    <w:rsid w:val="0067737B"/>
    <w:rsid w:val="00680C8B"/>
    <w:rsid w:val="00680D0B"/>
    <w:rsid w:val="00680E39"/>
    <w:rsid w:val="00681189"/>
    <w:rsid w:val="0068166A"/>
    <w:rsid w:val="00681BA3"/>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5E9"/>
    <w:rsid w:val="0069163C"/>
    <w:rsid w:val="00691BCB"/>
    <w:rsid w:val="006923CE"/>
    <w:rsid w:val="00692491"/>
    <w:rsid w:val="006928BC"/>
    <w:rsid w:val="00692BBE"/>
    <w:rsid w:val="00692DD1"/>
    <w:rsid w:val="00692EEF"/>
    <w:rsid w:val="00693310"/>
    <w:rsid w:val="006939A5"/>
    <w:rsid w:val="0069425A"/>
    <w:rsid w:val="00694363"/>
    <w:rsid w:val="00694449"/>
    <w:rsid w:val="006945CA"/>
    <w:rsid w:val="006945CD"/>
    <w:rsid w:val="00694A32"/>
    <w:rsid w:val="0069512A"/>
    <w:rsid w:val="00695D78"/>
    <w:rsid w:val="00695F9E"/>
    <w:rsid w:val="00696B30"/>
    <w:rsid w:val="00696D46"/>
    <w:rsid w:val="006972A2"/>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3FB"/>
    <w:rsid w:val="006B39DB"/>
    <w:rsid w:val="006B3CC6"/>
    <w:rsid w:val="006B3F51"/>
    <w:rsid w:val="006B41B2"/>
    <w:rsid w:val="006B480D"/>
    <w:rsid w:val="006B5CAE"/>
    <w:rsid w:val="006B672E"/>
    <w:rsid w:val="006B7BC3"/>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62B"/>
    <w:rsid w:val="006D1787"/>
    <w:rsid w:val="006D17A6"/>
    <w:rsid w:val="006D1938"/>
    <w:rsid w:val="006D1D9C"/>
    <w:rsid w:val="006D2330"/>
    <w:rsid w:val="006D2BCA"/>
    <w:rsid w:val="006D2E1C"/>
    <w:rsid w:val="006D2F8B"/>
    <w:rsid w:val="006D482A"/>
    <w:rsid w:val="006D4D04"/>
    <w:rsid w:val="006D565B"/>
    <w:rsid w:val="006D6107"/>
    <w:rsid w:val="006D6176"/>
    <w:rsid w:val="006D65D0"/>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66C"/>
    <w:rsid w:val="006E479D"/>
    <w:rsid w:val="006E4B36"/>
    <w:rsid w:val="006E4FF0"/>
    <w:rsid w:val="006E531D"/>
    <w:rsid w:val="006E64A2"/>
    <w:rsid w:val="006E6C06"/>
    <w:rsid w:val="006E7454"/>
    <w:rsid w:val="006E753F"/>
    <w:rsid w:val="006E76EE"/>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7FC"/>
    <w:rsid w:val="006F58BF"/>
    <w:rsid w:val="006F5DF9"/>
    <w:rsid w:val="006F5FF1"/>
    <w:rsid w:val="006F6166"/>
    <w:rsid w:val="006F656E"/>
    <w:rsid w:val="006F6C05"/>
    <w:rsid w:val="006F6F5B"/>
    <w:rsid w:val="006F71E5"/>
    <w:rsid w:val="006F77CE"/>
    <w:rsid w:val="006F7929"/>
    <w:rsid w:val="006F79C0"/>
    <w:rsid w:val="006F7F89"/>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B63"/>
    <w:rsid w:val="00711EB6"/>
    <w:rsid w:val="007121EF"/>
    <w:rsid w:val="007122CF"/>
    <w:rsid w:val="00712361"/>
    <w:rsid w:val="007123BC"/>
    <w:rsid w:val="00713278"/>
    <w:rsid w:val="00713EF7"/>
    <w:rsid w:val="00713FBA"/>
    <w:rsid w:val="007151CF"/>
    <w:rsid w:val="007156C6"/>
    <w:rsid w:val="007156E3"/>
    <w:rsid w:val="007158DD"/>
    <w:rsid w:val="007166AE"/>
    <w:rsid w:val="00717328"/>
    <w:rsid w:val="00720C57"/>
    <w:rsid w:val="00720E90"/>
    <w:rsid w:val="0072184C"/>
    <w:rsid w:val="00721EF6"/>
    <w:rsid w:val="00722340"/>
    <w:rsid w:val="007223B7"/>
    <w:rsid w:val="007228D4"/>
    <w:rsid w:val="00723679"/>
    <w:rsid w:val="00723D18"/>
    <w:rsid w:val="0072500F"/>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EDD"/>
    <w:rsid w:val="0073389C"/>
    <w:rsid w:val="00733BAF"/>
    <w:rsid w:val="00733DFB"/>
    <w:rsid w:val="0073418C"/>
    <w:rsid w:val="00734E0B"/>
    <w:rsid w:val="007352BE"/>
    <w:rsid w:val="007355D0"/>
    <w:rsid w:val="00736511"/>
    <w:rsid w:val="00736F83"/>
    <w:rsid w:val="00736FD4"/>
    <w:rsid w:val="00737592"/>
    <w:rsid w:val="00737A7E"/>
    <w:rsid w:val="00737DD2"/>
    <w:rsid w:val="007403EA"/>
    <w:rsid w:val="0074051A"/>
    <w:rsid w:val="00740565"/>
    <w:rsid w:val="0074076F"/>
    <w:rsid w:val="0074082C"/>
    <w:rsid w:val="00740B7A"/>
    <w:rsid w:val="0074146A"/>
    <w:rsid w:val="00741583"/>
    <w:rsid w:val="00742256"/>
    <w:rsid w:val="00742CF3"/>
    <w:rsid w:val="00743316"/>
    <w:rsid w:val="00743C38"/>
    <w:rsid w:val="00744070"/>
    <w:rsid w:val="007440D5"/>
    <w:rsid w:val="00744155"/>
    <w:rsid w:val="0074460B"/>
    <w:rsid w:val="007447EB"/>
    <w:rsid w:val="007448DF"/>
    <w:rsid w:val="00744E05"/>
    <w:rsid w:val="00745F4B"/>
    <w:rsid w:val="007461FA"/>
    <w:rsid w:val="007466F9"/>
    <w:rsid w:val="00746F0F"/>
    <w:rsid w:val="00747E72"/>
    <w:rsid w:val="00747F97"/>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5063"/>
    <w:rsid w:val="007556CE"/>
    <w:rsid w:val="00755CCA"/>
    <w:rsid w:val="0075678A"/>
    <w:rsid w:val="007578C5"/>
    <w:rsid w:val="00757F37"/>
    <w:rsid w:val="0076012A"/>
    <w:rsid w:val="00760222"/>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63E"/>
    <w:rsid w:val="00771817"/>
    <w:rsid w:val="00771D73"/>
    <w:rsid w:val="00772344"/>
    <w:rsid w:val="007725CE"/>
    <w:rsid w:val="00772F95"/>
    <w:rsid w:val="007738BC"/>
    <w:rsid w:val="00773E5D"/>
    <w:rsid w:val="0077462E"/>
    <w:rsid w:val="00775CFE"/>
    <w:rsid w:val="007763FE"/>
    <w:rsid w:val="007765C4"/>
    <w:rsid w:val="00776697"/>
    <w:rsid w:val="0077771C"/>
    <w:rsid w:val="00777B34"/>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CF8"/>
    <w:rsid w:val="00785D23"/>
    <w:rsid w:val="00786243"/>
    <w:rsid w:val="00786470"/>
    <w:rsid w:val="00786BCD"/>
    <w:rsid w:val="00786C23"/>
    <w:rsid w:val="007870A8"/>
    <w:rsid w:val="007877D4"/>
    <w:rsid w:val="00787DA7"/>
    <w:rsid w:val="00787EEA"/>
    <w:rsid w:val="00787F3A"/>
    <w:rsid w:val="00787FDB"/>
    <w:rsid w:val="007908BD"/>
    <w:rsid w:val="00791153"/>
    <w:rsid w:val="00791328"/>
    <w:rsid w:val="0079172C"/>
    <w:rsid w:val="00791BA8"/>
    <w:rsid w:val="00791EA1"/>
    <w:rsid w:val="0079357A"/>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14FA"/>
    <w:rsid w:val="007B1C86"/>
    <w:rsid w:val="007B2216"/>
    <w:rsid w:val="007B2419"/>
    <w:rsid w:val="007B29C4"/>
    <w:rsid w:val="007B3007"/>
    <w:rsid w:val="007B32CB"/>
    <w:rsid w:val="007B3C6E"/>
    <w:rsid w:val="007B415D"/>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B5A"/>
    <w:rsid w:val="007D1E40"/>
    <w:rsid w:val="007D22CE"/>
    <w:rsid w:val="007D2598"/>
    <w:rsid w:val="007D3B89"/>
    <w:rsid w:val="007D4021"/>
    <w:rsid w:val="007D43BF"/>
    <w:rsid w:val="007D480B"/>
    <w:rsid w:val="007D4E7A"/>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82"/>
    <w:rsid w:val="007E37BB"/>
    <w:rsid w:val="007E3869"/>
    <w:rsid w:val="007E436B"/>
    <w:rsid w:val="007E5D8D"/>
    <w:rsid w:val="007E6877"/>
    <w:rsid w:val="007E7D6C"/>
    <w:rsid w:val="007F00D1"/>
    <w:rsid w:val="007F01C4"/>
    <w:rsid w:val="007F11EE"/>
    <w:rsid w:val="007F133F"/>
    <w:rsid w:val="007F24A3"/>
    <w:rsid w:val="007F2BF8"/>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FD0"/>
    <w:rsid w:val="00807BB1"/>
    <w:rsid w:val="00810201"/>
    <w:rsid w:val="00810AC0"/>
    <w:rsid w:val="00811FC2"/>
    <w:rsid w:val="008121D0"/>
    <w:rsid w:val="00812984"/>
    <w:rsid w:val="00812B59"/>
    <w:rsid w:val="00813C9C"/>
    <w:rsid w:val="0081409F"/>
    <w:rsid w:val="00814670"/>
    <w:rsid w:val="0081492E"/>
    <w:rsid w:val="00814B1D"/>
    <w:rsid w:val="00815470"/>
    <w:rsid w:val="00815A40"/>
    <w:rsid w:val="00817D0D"/>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ED6"/>
    <w:rsid w:val="00832FAC"/>
    <w:rsid w:val="00833C33"/>
    <w:rsid w:val="008350B5"/>
    <w:rsid w:val="00836462"/>
    <w:rsid w:val="00836835"/>
    <w:rsid w:val="008368CE"/>
    <w:rsid w:val="00836B04"/>
    <w:rsid w:val="00837135"/>
    <w:rsid w:val="0083730A"/>
    <w:rsid w:val="00837FA0"/>
    <w:rsid w:val="008400AB"/>
    <w:rsid w:val="008404E8"/>
    <w:rsid w:val="008416F1"/>
    <w:rsid w:val="00842275"/>
    <w:rsid w:val="00842524"/>
    <w:rsid w:val="00842A00"/>
    <w:rsid w:val="00842B68"/>
    <w:rsid w:val="00843A9C"/>
    <w:rsid w:val="00843B20"/>
    <w:rsid w:val="0084408F"/>
    <w:rsid w:val="008440AB"/>
    <w:rsid w:val="0084426E"/>
    <w:rsid w:val="0084545B"/>
    <w:rsid w:val="00845789"/>
    <w:rsid w:val="00846426"/>
    <w:rsid w:val="00846844"/>
    <w:rsid w:val="00847181"/>
    <w:rsid w:val="00847CA7"/>
    <w:rsid w:val="00847D0D"/>
    <w:rsid w:val="00847D5C"/>
    <w:rsid w:val="008502C7"/>
    <w:rsid w:val="008503A8"/>
    <w:rsid w:val="00850EDD"/>
    <w:rsid w:val="00850FA2"/>
    <w:rsid w:val="008510AB"/>
    <w:rsid w:val="00853898"/>
    <w:rsid w:val="008545F0"/>
    <w:rsid w:val="00854B03"/>
    <w:rsid w:val="00855DDD"/>
    <w:rsid w:val="00855FBF"/>
    <w:rsid w:val="0085627A"/>
    <w:rsid w:val="0085688E"/>
    <w:rsid w:val="00856B36"/>
    <w:rsid w:val="00856E82"/>
    <w:rsid w:val="00857029"/>
    <w:rsid w:val="0085763C"/>
    <w:rsid w:val="00857ADC"/>
    <w:rsid w:val="00860775"/>
    <w:rsid w:val="008609DD"/>
    <w:rsid w:val="00860B07"/>
    <w:rsid w:val="00861061"/>
    <w:rsid w:val="008611DB"/>
    <w:rsid w:val="0086126D"/>
    <w:rsid w:val="00862116"/>
    <w:rsid w:val="008624EB"/>
    <w:rsid w:val="00864433"/>
    <w:rsid w:val="008646BC"/>
    <w:rsid w:val="00864DCA"/>
    <w:rsid w:val="00865414"/>
    <w:rsid w:val="0086577C"/>
    <w:rsid w:val="0086688B"/>
    <w:rsid w:val="00866E63"/>
    <w:rsid w:val="00867253"/>
    <w:rsid w:val="00867D1D"/>
    <w:rsid w:val="0087003B"/>
    <w:rsid w:val="00871F71"/>
    <w:rsid w:val="00872271"/>
    <w:rsid w:val="008724A1"/>
    <w:rsid w:val="00872B41"/>
    <w:rsid w:val="00872BB8"/>
    <w:rsid w:val="0087345A"/>
    <w:rsid w:val="0087432D"/>
    <w:rsid w:val="00874BD7"/>
    <w:rsid w:val="00875348"/>
    <w:rsid w:val="008753C6"/>
    <w:rsid w:val="00875421"/>
    <w:rsid w:val="00875A6F"/>
    <w:rsid w:val="00875B8E"/>
    <w:rsid w:val="00875E04"/>
    <w:rsid w:val="00875E6E"/>
    <w:rsid w:val="00876669"/>
    <w:rsid w:val="00876C4A"/>
    <w:rsid w:val="00877020"/>
    <w:rsid w:val="00877323"/>
    <w:rsid w:val="00877A6D"/>
    <w:rsid w:val="00877ACC"/>
    <w:rsid w:val="00877B59"/>
    <w:rsid w:val="00880045"/>
    <w:rsid w:val="008813EE"/>
    <w:rsid w:val="008821C9"/>
    <w:rsid w:val="00882DE8"/>
    <w:rsid w:val="008831F4"/>
    <w:rsid w:val="008832B5"/>
    <w:rsid w:val="0088392D"/>
    <w:rsid w:val="00883C93"/>
    <w:rsid w:val="00884F3E"/>
    <w:rsid w:val="00885064"/>
    <w:rsid w:val="00886D5D"/>
    <w:rsid w:val="008870BC"/>
    <w:rsid w:val="008879F8"/>
    <w:rsid w:val="0089027E"/>
    <w:rsid w:val="008905FD"/>
    <w:rsid w:val="008915B6"/>
    <w:rsid w:val="00891AE5"/>
    <w:rsid w:val="00891EB7"/>
    <w:rsid w:val="0089237A"/>
    <w:rsid w:val="00892B23"/>
    <w:rsid w:val="00892D55"/>
    <w:rsid w:val="00892F5D"/>
    <w:rsid w:val="0089343C"/>
    <w:rsid w:val="00893531"/>
    <w:rsid w:val="0089425F"/>
    <w:rsid w:val="00894819"/>
    <w:rsid w:val="00894A29"/>
    <w:rsid w:val="00894D05"/>
    <w:rsid w:val="00895CB0"/>
    <w:rsid w:val="00895EFD"/>
    <w:rsid w:val="00896742"/>
    <w:rsid w:val="00896953"/>
    <w:rsid w:val="008A09EC"/>
    <w:rsid w:val="008A0B25"/>
    <w:rsid w:val="008A0C3A"/>
    <w:rsid w:val="008A1A13"/>
    <w:rsid w:val="008A213D"/>
    <w:rsid w:val="008A2C57"/>
    <w:rsid w:val="008A2F9E"/>
    <w:rsid w:val="008A49CF"/>
    <w:rsid w:val="008A522F"/>
    <w:rsid w:val="008A5331"/>
    <w:rsid w:val="008A54A2"/>
    <w:rsid w:val="008A576C"/>
    <w:rsid w:val="008A6289"/>
    <w:rsid w:val="008A62E7"/>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8F5"/>
    <w:rsid w:val="008C290B"/>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6F27"/>
    <w:rsid w:val="008C73D8"/>
    <w:rsid w:val="008D0A3E"/>
    <w:rsid w:val="008D0CA7"/>
    <w:rsid w:val="008D1552"/>
    <w:rsid w:val="008D155B"/>
    <w:rsid w:val="008D1907"/>
    <w:rsid w:val="008D2C68"/>
    <w:rsid w:val="008D2E36"/>
    <w:rsid w:val="008D3A98"/>
    <w:rsid w:val="008D3D9E"/>
    <w:rsid w:val="008D3E12"/>
    <w:rsid w:val="008D41E8"/>
    <w:rsid w:val="008D4874"/>
    <w:rsid w:val="008D4E08"/>
    <w:rsid w:val="008D5848"/>
    <w:rsid w:val="008D5945"/>
    <w:rsid w:val="008D5CDC"/>
    <w:rsid w:val="008D673E"/>
    <w:rsid w:val="008D701A"/>
    <w:rsid w:val="008D7217"/>
    <w:rsid w:val="008D77CA"/>
    <w:rsid w:val="008D7B3B"/>
    <w:rsid w:val="008E07BF"/>
    <w:rsid w:val="008E08A2"/>
    <w:rsid w:val="008E08AF"/>
    <w:rsid w:val="008E0A07"/>
    <w:rsid w:val="008E0A45"/>
    <w:rsid w:val="008E0EDD"/>
    <w:rsid w:val="008E1016"/>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300"/>
    <w:rsid w:val="008E7432"/>
    <w:rsid w:val="008E7ED1"/>
    <w:rsid w:val="008F00FE"/>
    <w:rsid w:val="008F0217"/>
    <w:rsid w:val="008F0BE9"/>
    <w:rsid w:val="008F0DFC"/>
    <w:rsid w:val="008F11D8"/>
    <w:rsid w:val="008F126A"/>
    <w:rsid w:val="008F1923"/>
    <w:rsid w:val="008F19C3"/>
    <w:rsid w:val="008F1E1B"/>
    <w:rsid w:val="008F2496"/>
    <w:rsid w:val="008F261A"/>
    <w:rsid w:val="008F2861"/>
    <w:rsid w:val="008F2E18"/>
    <w:rsid w:val="008F34DC"/>
    <w:rsid w:val="008F3850"/>
    <w:rsid w:val="008F3E50"/>
    <w:rsid w:val="008F4188"/>
    <w:rsid w:val="008F4189"/>
    <w:rsid w:val="008F4C12"/>
    <w:rsid w:val="008F4F7B"/>
    <w:rsid w:val="008F5611"/>
    <w:rsid w:val="008F6AE6"/>
    <w:rsid w:val="008F7E85"/>
    <w:rsid w:val="00900322"/>
    <w:rsid w:val="00900826"/>
    <w:rsid w:val="00901DA6"/>
    <w:rsid w:val="009026F8"/>
    <w:rsid w:val="00902DBE"/>
    <w:rsid w:val="00902E2E"/>
    <w:rsid w:val="00903459"/>
    <w:rsid w:val="00903A5B"/>
    <w:rsid w:val="00903DF9"/>
    <w:rsid w:val="00903F0A"/>
    <w:rsid w:val="00904171"/>
    <w:rsid w:val="00904671"/>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914"/>
    <w:rsid w:val="009151AC"/>
    <w:rsid w:val="00916A95"/>
    <w:rsid w:val="00916FD1"/>
    <w:rsid w:val="00917EFE"/>
    <w:rsid w:val="00917F03"/>
    <w:rsid w:val="00917F38"/>
    <w:rsid w:val="00917FB8"/>
    <w:rsid w:val="00920ECA"/>
    <w:rsid w:val="00920FE8"/>
    <w:rsid w:val="00921CF7"/>
    <w:rsid w:val="009222A7"/>
    <w:rsid w:val="00922A0E"/>
    <w:rsid w:val="009230C3"/>
    <w:rsid w:val="009234C3"/>
    <w:rsid w:val="00924461"/>
    <w:rsid w:val="00924489"/>
    <w:rsid w:val="0092532E"/>
    <w:rsid w:val="009258CF"/>
    <w:rsid w:val="00925AD5"/>
    <w:rsid w:val="00927522"/>
    <w:rsid w:val="009279D6"/>
    <w:rsid w:val="00927EBE"/>
    <w:rsid w:val="009300D2"/>
    <w:rsid w:val="00930AE7"/>
    <w:rsid w:val="00930D61"/>
    <w:rsid w:val="00930E6D"/>
    <w:rsid w:val="00931C99"/>
    <w:rsid w:val="00931F23"/>
    <w:rsid w:val="00932C64"/>
    <w:rsid w:val="00932DA5"/>
    <w:rsid w:val="00933124"/>
    <w:rsid w:val="0093353B"/>
    <w:rsid w:val="009336CC"/>
    <w:rsid w:val="009338D8"/>
    <w:rsid w:val="00933C1D"/>
    <w:rsid w:val="00935030"/>
    <w:rsid w:val="009351C6"/>
    <w:rsid w:val="0093522F"/>
    <w:rsid w:val="009356CC"/>
    <w:rsid w:val="0093573A"/>
    <w:rsid w:val="00935A00"/>
    <w:rsid w:val="00935DC2"/>
    <w:rsid w:val="00936036"/>
    <w:rsid w:val="00936089"/>
    <w:rsid w:val="00936ABD"/>
    <w:rsid w:val="0093709E"/>
    <w:rsid w:val="0093742B"/>
    <w:rsid w:val="00940198"/>
    <w:rsid w:val="0094026B"/>
    <w:rsid w:val="00941920"/>
    <w:rsid w:val="00941A40"/>
    <w:rsid w:val="00941FC3"/>
    <w:rsid w:val="00942523"/>
    <w:rsid w:val="009429D0"/>
    <w:rsid w:val="00943069"/>
    <w:rsid w:val="009431DC"/>
    <w:rsid w:val="00943768"/>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75D0"/>
    <w:rsid w:val="00967A21"/>
    <w:rsid w:val="00967B43"/>
    <w:rsid w:val="00970F6A"/>
    <w:rsid w:val="009718D5"/>
    <w:rsid w:val="009719B7"/>
    <w:rsid w:val="00971D19"/>
    <w:rsid w:val="009722F8"/>
    <w:rsid w:val="00972737"/>
    <w:rsid w:val="00972C0D"/>
    <w:rsid w:val="00972CBE"/>
    <w:rsid w:val="00972CDF"/>
    <w:rsid w:val="00973B43"/>
    <w:rsid w:val="00973F9F"/>
    <w:rsid w:val="00974315"/>
    <w:rsid w:val="009746A1"/>
    <w:rsid w:val="00974980"/>
    <w:rsid w:val="00974C5C"/>
    <w:rsid w:val="0097503D"/>
    <w:rsid w:val="009751E7"/>
    <w:rsid w:val="009754B9"/>
    <w:rsid w:val="0097608B"/>
    <w:rsid w:val="009763D1"/>
    <w:rsid w:val="00977AD2"/>
    <w:rsid w:val="00977E5D"/>
    <w:rsid w:val="00980AB1"/>
    <w:rsid w:val="00980CFE"/>
    <w:rsid w:val="0098100C"/>
    <w:rsid w:val="0098177C"/>
    <w:rsid w:val="00982306"/>
    <w:rsid w:val="00982432"/>
    <w:rsid w:val="0098371C"/>
    <w:rsid w:val="0098465B"/>
    <w:rsid w:val="00984D7B"/>
    <w:rsid w:val="009858D3"/>
    <w:rsid w:val="00985BE6"/>
    <w:rsid w:val="00986274"/>
    <w:rsid w:val="009867C3"/>
    <w:rsid w:val="0098730C"/>
    <w:rsid w:val="009875A5"/>
    <w:rsid w:val="0099057F"/>
    <w:rsid w:val="00990703"/>
    <w:rsid w:val="0099097C"/>
    <w:rsid w:val="00991398"/>
    <w:rsid w:val="00991839"/>
    <w:rsid w:val="00991947"/>
    <w:rsid w:val="00992076"/>
    <w:rsid w:val="0099274A"/>
    <w:rsid w:val="00992765"/>
    <w:rsid w:val="00992BA5"/>
    <w:rsid w:val="00992C96"/>
    <w:rsid w:val="009934FE"/>
    <w:rsid w:val="00993615"/>
    <w:rsid w:val="0099371B"/>
    <w:rsid w:val="00993A6C"/>
    <w:rsid w:val="0099452C"/>
    <w:rsid w:val="00994D51"/>
    <w:rsid w:val="009969EC"/>
    <w:rsid w:val="009974B4"/>
    <w:rsid w:val="00997DF4"/>
    <w:rsid w:val="009A0658"/>
    <w:rsid w:val="009A1F8B"/>
    <w:rsid w:val="009A2054"/>
    <w:rsid w:val="009A27FA"/>
    <w:rsid w:val="009A3B71"/>
    <w:rsid w:val="009A4156"/>
    <w:rsid w:val="009A420D"/>
    <w:rsid w:val="009A4965"/>
    <w:rsid w:val="009A5181"/>
    <w:rsid w:val="009A640F"/>
    <w:rsid w:val="009A70F7"/>
    <w:rsid w:val="009A76D6"/>
    <w:rsid w:val="009A78AB"/>
    <w:rsid w:val="009B046B"/>
    <w:rsid w:val="009B1751"/>
    <w:rsid w:val="009B1A0C"/>
    <w:rsid w:val="009B21C5"/>
    <w:rsid w:val="009B3269"/>
    <w:rsid w:val="009B4AEF"/>
    <w:rsid w:val="009B5708"/>
    <w:rsid w:val="009B5B97"/>
    <w:rsid w:val="009B626C"/>
    <w:rsid w:val="009B6D66"/>
    <w:rsid w:val="009B73A0"/>
    <w:rsid w:val="009B73F5"/>
    <w:rsid w:val="009C0263"/>
    <w:rsid w:val="009C0886"/>
    <w:rsid w:val="009C0939"/>
    <w:rsid w:val="009C098D"/>
    <w:rsid w:val="009C14E2"/>
    <w:rsid w:val="009C340B"/>
    <w:rsid w:val="009C3F6C"/>
    <w:rsid w:val="009C414E"/>
    <w:rsid w:val="009C4906"/>
    <w:rsid w:val="009C4DB8"/>
    <w:rsid w:val="009C52B1"/>
    <w:rsid w:val="009C5EFE"/>
    <w:rsid w:val="009C63C2"/>
    <w:rsid w:val="009C68E2"/>
    <w:rsid w:val="009C6CD6"/>
    <w:rsid w:val="009D0882"/>
    <w:rsid w:val="009D0EC2"/>
    <w:rsid w:val="009D0EE3"/>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6587"/>
    <w:rsid w:val="009D685F"/>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4096"/>
    <w:rsid w:val="009E429E"/>
    <w:rsid w:val="009E479A"/>
    <w:rsid w:val="009E4A1F"/>
    <w:rsid w:val="009E53B8"/>
    <w:rsid w:val="009E5404"/>
    <w:rsid w:val="009E5C98"/>
    <w:rsid w:val="009E6FE9"/>
    <w:rsid w:val="009F0A6A"/>
    <w:rsid w:val="009F152F"/>
    <w:rsid w:val="009F1BCA"/>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B75"/>
    <w:rsid w:val="009F6F4D"/>
    <w:rsid w:val="009F7210"/>
    <w:rsid w:val="009F7292"/>
    <w:rsid w:val="009F784D"/>
    <w:rsid w:val="009F78BE"/>
    <w:rsid w:val="009F79A0"/>
    <w:rsid w:val="00A00A66"/>
    <w:rsid w:val="00A00ACA"/>
    <w:rsid w:val="00A01DA7"/>
    <w:rsid w:val="00A028FD"/>
    <w:rsid w:val="00A02E8E"/>
    <w:rsid w:val="00A03CB8"/>
    <w:rsid w:val="00A03D26"/>
    <w:rsid w:val="00A03EFC"/>
    <w:rsid w:val="00A0414C"/>
    <w:rsid w:val="00A04191"/>
    <w:rsid w:val="00A04279"/>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1418"/>
    <w:rsid w:val="00A11661"/>
    <w:rsid w:val="00A11D9F"/>
    <w:rsid w:val="00A1317C"/>
    <w:rsid w:val="00A13551"/>
    <w:rsid w:val="00A1375F"/>
    <w:rsid w:val="00A13BEB"/>
    <w:rsid w:val="00A154CC"/>
    <w:rsid w:val="00A1598A"/>
    <w:rsid w:val="00A161D4"/>
    <w:rsid w:val="00A16592"/>
    <w:rsid w:val="00A16E43"/>
    <w:rsid w:val="00A1762F"/>
    <w:rsid w:val="00A1772E"/>
    <w:rsid w:val="00A17A4C"/>
    <w:rsid w:val="00A202DC"/>
    <w:rsid w:val="00A20962"/>
    <w:rsid w:val="00A211AA"/>
    <w:rsid w:val="00A212DF"/>
    <w:rsid w:val="00A21913"/>
    <w:rsid w:val="00A22270"/>
    <w:rsid w:val="00A2290C"/>
    <w:rsid w:val="00A23913"/>
    <w:rsid w:val="00A23E6D"/>
    <w:rsid w:val="00A240B9"/>
    <w:rsid w:val="00A24B3A"/>
    <w:rsid w:val="00A24C9C"/>
    <w:rsid w:val="00A24E08"/>
    <w:rsid w:val="00A25FEF"/>
    <w:rsid w:val="00A26186"/>
    <w:rsid w:val="00A269AA"/>
    <w:rsid w:val="00A2742B"/>
    <w:rsid w:val="00A27619"/>
    <w:rsid w:val="00A27620"/>
    <w:rsid w:val="00A27749"/>
    <w:rsid w:val="00A30418"/>
    <w:rsid w:val="00A309B4"/>
    <w:rsid w:val="00A31A7B"/>
    <w:rsid w:val="00A326C9"/>
    <w:rsid w:val="00A327BE"/>
    <w:rsid w:val="00A3365E"/>
    <w:rsid w:val="00A3367F"/>
    <w:rsid w:val="00A33BD2"/>
    <w:rsid w:val="00A3459D"/>
    <w:rsid w:val="00A346A5"/>
    <w:rsid w:val="00A34A5C"/>
    <w:rsid w:val="00A35C94"/>
    <w:rsid w:val="00A361CB"/>
    <w:rsid w:val="00A3639D"/>
    <w:rsid w:val="00A3784E"/>
    <w:rsid w:val="00A3793A"/>
    <w:rsid w:val="00A40201"/>
    <w:rsid w:val="00A40230"/>
    <w:rsid w:val="00A408BF"/>
    <w:rsid w:val="00A411B4"/>
    <w:rsid w:val="00A41349"/>
    <w:rsid w:val="00A41DD3"/>
    <w:rsid w:val="00A42288"/>
    <w:rsid w:val="00A44425"/>
    <w:rsid w:val="00A44436"/>
    <w:rsid w:val="00A44714"/>
    <w:rsid w:val="00A449E3"/>
    <w:rsid w:val="00A44C26"/>
    <w:rsid w:val="00A461FC"/>
    <w:rsid w:val="00A4628B"/>
    <w:rsid w:val="00A46637"/>
    <w:rsid w:val="00A46FFA"/>
    <w:rsid w:val="00A47F6A"/>
    <w:rsid w:val="00A50A40"/>
    <w:rsid w:val="00A5273B"/>
    <w:rsid w:val="00A52A8E"/>
    <w:rsid w:val="00A533A1"/>
    <w:rsid w:val="00A5421C"/>
    <w:rsid w:val="00A54746"/>
    <w:rsid w:val="00A54D62"/>
    <w:rsid w:val="00A54DDD"/>
    <w:rsid w:val="00A553F1"/>
    <w:rsid w:val="00A56D76"/>
    <w:rsid w:val="00A577B4"/>
    <w:rsid w:val="00A57973"/>
    <w:rsid w:val="00A57E12"/>
    <w:rsid w:val="00A6002A"/>
    <w:rsid w:val="00A605CA"/>
    <w:rsid w:val="00A60741"/>
    <w:rsid w:val="00A60BD2"/>
    <w:rsid w:val="00A60E8A"/>
    <w:rsid w:val="00A60FAE"/>
    <w:rsid w:val="00A62935"/>
    <w:rsid w:val="00A62A29"/>
    <w:rsid w:val="00A62AD0"/>
    <w:rsid w:val="00A6328C"/>
    <w:rsid w:val="00A63392"/>
    <w:rsid w:val="00A634C8"/>
    <w:rsid w:val="00A63EA7"/>
    <w:rsid w:val="00A64620"/>
    <w:rsid w:val="00A65A71"/>
    <w:rsid w:val="00A65C8E"/>
    <w:rsid w:val="00A66361"/>
    <w:rsid w:val="00A667D8"/>
    <w:rsid w:val="00A672C4"/>
    <w:rsid w:val="00A672FF"/>
    <w:rsid w:val="00A674D1"/>
    <w:rsid w:val="00A67788"/>
    <w:rsid w:val="00A67B8D"/>
    <w:rsid w:val="00A70535"/>
    <w:rsid w:val="00A711F4"/>
    <w:rsid w:val="00A713E6"/>
    <w:rsid w:val="00A72E43"/>
    <w:rsid w:val="00A734B0"/>
    <w:rsid w:val="00A737D2"/>
    <w:rsid w:val="00A738A9"/>
    <w:rsid w:val="00A7391F"/>
    <w:rsid w:val="00A73A95"/>
    <w:rsid w:val="00A73B44"/>
    <w:rsid w:val="00A751E6"/>
    <w:rsid w:val="00A75978"/>
    <w:rsid w:val="00A75AD7"/>
    <w:rsid w:val="00A802B1"/>
    <w:rsid w:val="00A816A3"/>
    <w:rsid w:val="00A81AFE"/>
    <w:rsid w:val="00A81CF2"/>
    <w:rsid w:val="00A82239"/>
    <w:rsid w:val="00A82579"/>
    <w:rsid w:val="00A825F3"/>
    <w:rsid w:val="00A828C5"/>
    <w:rsid w:val="00A82AC0"/>
    <w:rsid w:val="00A82D53"/>
    <w:rsid w:val="00A83298"/>
    <w:rsid w:val="00A83C79"/>
    <w:rsid w:val="00A83F48"/>
    <w:rsid w:val="00A84476"/>
    <w:rsid w:val="00A845BD"/>
    <w:rsid w:val="00A84AB5"/>
    <w:rsid w:val="00A85003"/>
    <w:rsid w:val="00A854DE"/>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A3E"/>
    <w:rsid w:val="00A9661F"/>
    <w:rsid w:val="00A9671A"/>
    <w:rsid w:val="00A9697E"/>
    <w:rsid w:val="00A96997"/>
    <w:rsid w:val="00A96BE9"/>
    <w:rsid w:val="00A96D1C"/>
    <w:rsid w:val="00A97651"/>
    <w:rsid w:val="00AA01F0"/>
    <w:rsid w:val="00AA0981"/>
    <w:rsid w:val="00AA1060"/>
    <w:rsid w:val="00AA3C9F"/>
    <w:rsid w:val="00AA532A"/>
    <w:rsid w:val="00AA5523"/>
    <w:rsid w:val="00AA5BCC"/>
    <w:rsid w:val="00AA5C33"/>
    <w:rsid w:val="00AA6A7C"/>
    <w:rsid w:val="00AA6E55"/>
    <w:rsid w:val="00AB0913"/>
    <w:rsid w:val="00AB0D9A"/>
    <w:rsid w:val="00AB135A"/>
    <w:rsid w:val="00AB1B6C"/>
    <w:rsid w:val="00AB1CC9"/>
    <w:rsid w:val="00AB2351"/>
    <w:rsid w:val="00AB2DF3"/>
    <w:rsid w:val="00AB3049"/>
    <w:rsid w:val="00AB3396"/>
    <w:rsid w:val="00AB3529"/>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AAF"/>
    <w:rsid w:val="00AD2134"/>
    <w:rsid w:val="00AD27E9"/>
    <w:rsid w:val="00AD2AB4"/>
    <w:rsid w:val="00AD2E3F"/>
    <w:rsid w:val="00AD3AB8"/>
    <w:rsid w:val="00AD3B83"/>
    <w:rsid w:val="00AD3E6A"/>
    <w:rsid w:val="00AD3E78"/>
    <w:rsid w:val="00AD41A1"/>
    <w:rsid w:val="00AD53AB"/>
    <w:rsid w:val="00AD5789"/>
    <w:rsid w:val="00AD57D6"/>
    <w:rsid w:val="00AD58B5"/>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E88"/>
    <w:rsid w:val="00AE3F87"/>
    <w:rsid w:val="00AE5044"/>
    <w:rsid w:val="00AE52E8"/>
    <w:rsid w:val="00AE5A8F"/>
    <w:rsid w:val="00AE5FAD"/>
    <w:rsid w:val="00AE7CC2"/>
    <w:rsid w:val="00AE7D12"/>
    <w:rsid w:val="00AE7DCC"/>
    <w:rsid w:val="00AF0521"/>
    <w:rsid w:val="00AF0747"/>
    <w:rsid w:val="00AF0A84"/>
    <w:rsid w:val="00AF11CC"/>
    <w:rsid w:val="00AF164C"/>
    <w:rsid w:val="00AF1FF2"/>
    <w:rsid w:val="00AF24D9"/>
    <w:rsid w:val="00AF3DAC"/>
    <w:rsid w:val="00AF40C8"/>
    <w:rsid w:val="00AF4E5E"/>
    <w:rsid w:val="00AF5881"/>
    <w:rsid w:val="00AF635C"/>
    <w:rsid w:val="00AF66F8"/>
    <w:rsid w:val="00AF6F35"/>
    <w:rsid w:val="00AF7279"/>
    <w:rsid w:val="00AF77DB"/>
    <w:rsid w:val="00B00D5D"/>
    <w:rsid w:val="00B00E0D"/>
    <w:rsid w:val="00B0190C"/>
    <w:rsid w:val="00B024C5"/>
    <w:rsid w:val="00B02AF6"/>
    <w:rsid w:val="00B03535"/>
    <w:rsid w:val="00B037E1"/>
    <w:rsid w:val="00B04438"/>
    <w:rsid w:val="00B044F5"/>
    <w:rsid w:val="00B04BC5"/>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7102"/>
    <w:rsid w:val="00B17D1C"/>
    <w:rsid w:val="00B20289"/>
    <w:rsid w:val="00B2067D"/>
    <w:rsid w:val="00B20785"/>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827"/>
    <w:rsid w:val="00B25894"/>
    <w:rsid w:val="00B26337"/>
    <w:rsid w:val="00B26AB7"/>
    <w:rsid w:val="00B26B5C"/>
    <w:rsid w:val="00B26D11"/>
    <w:rsid w:val="00B270D6"/>
    <w:rsid w:val="00B27108"/>
    <w:rsid w:val="00B275B2"/>
    <w:rsid w:val="00B30659"/>
    <w:rsid w:val="00B3087A"/>
    <w:rsid w:val="00B3113C"/>
    <w:rsid w:val="00B318C6"/>
    <w:rsid w:val="00B32509"/>
    <w:rsid w:val="00B33312"/>
    <w:rsid w:val="00B33892"/>
    <w:rsid w:val="00B344E8"/>
    <w:rsid w:val="00B351B9"/>
    <w:rsid w:val="00B35408"/>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459"/>
    <w:rsid w:val="00B50E09"/>
    <w:rsid w:val="00B514D1"/>
    <w:rsid w:val="00B51E89"/>
    <w:rsid w:val="00B525F3"/>
    <w:rsid w:val="00B52BB0"/>
    <w:rsid w:val="00B53445"/>
    <w:rsid w:val="00B536C0"/>
    <w:rsid w:val="00B54364"/>
    <w:rsid w:val="00B5584A"/>
    <w:rsid w:val="00B56136"/>
    <w:rsid w:val="00B564A1"/>
    <w:rsid w:val="00B566B0"/>
    <w:rsid w:val="00B56763"/>
    <w:rsid w:val="00B56D6B"/>
    <w:rsid w:val="00B573C4"/>
    <w:rsid w:val="00B57471"/>
    <w:rsid w:val="00B57F52"/>
    <w:rsid w:val="00B602F5"/>
    <w:rsid w:val="00B60C55"/>
    <w:rsid w:val="00B60D5F"/>
    <w:rsid w:val="00B60FBA"/>
    <w:rsid w:val="00B616BA"/>
    <w:rsid w:val="00B61865"/>
    <w:rsid w:val="00B61902"/>
    <w:rsid w:val="00B6248F"/>
    <w:rsid w:val="00B62895"/>
    <w:rsid w:val="00B64838"/>
    <w:rsid w:val="00B64E8A"/>
    <w:rsid w:val="00B6511E"/>
    <w:rsid w:val="00B6538B"/>
    <w:rsid w:val="00B659E3"/>
    <w:rsid w:val="00B66B8D"/>
    <w:rsid w:val="00B66C6C"/>
    <w:rsid w:val="00B670CC"/>
    <w:rsid w:val="00B67265"/>
    <w:rsid w:val="00B67818"/>
    <w:rsid w:val="00B67A31"/>
    <w:rsid w:val="00B67E15"/>
    <w:rsid w:val="00B67E94"/>
    <w:rsid w:val="00B703A8"/>
    <w:rsid w:val="00B70613"/>
    <w:rsid w:val="00B7214D"/>
    <w:rsid w:val="00B72556"/>
    <w:rsid w:val="00B72CD0"/>
    <w:rsid w:val="00B73527"/>
    <w:rsid w:val="00B73F1D"/>
    <w:rsid w:val="00B74A96"/>
    <w:rsid w:val="00B74D91"/>
    <w:rsid w:val="00B74ED3"/>
    <w:rsid w:val="00B7605C"/>
    <w:rsid w:val="00B763D2"/>
    <w:rsid w:val="00B77BC5"/>
    <w:rsid w:val="00B77EFE"/>
    <w:rsid w:val="00B8070C"/>
    <w:rsid w:val="00B81C59"/>
    <w:rsid w:val="00B82168"/>
    <w:rsid w:val="00B82292"/>
    <w:rsid w:val="00B82961"/>
    <w:rsid w:val="00B83300"/>
    <w:rsid w:val="00B83720"/>
    <w:rsid w:val="00B8471E"/>
    <w:rsid w:val="00B8478F"/>
    <w:rsid w:val="00B84A16"/>
    <w:rsid w:val="00B8590E"/>
    <w:rsid w:val="00B85F6E"/>
    <w:rsid w:val="00B8656C"/>
    <w:rsid w:val="00B866FC"/>
    <w:rsid w:val="00B86ABD"/>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BE5"/>
    <w:rsid w:val="00BC7E17"/>
    <w:rsid w:val="00BD02F9"/>
    <w:rsid w:val="00BD1235"/>
    <w:rsid w:val="00BD1265"/>
    <w:rsid w:val="00BD1430"/>
    <w:rsid w:val="00BD1932"/>
    <w:rsid w:val="00BD1D5F"/>
    <w:rsid w:val="00BD3971"/>
    <w:rsid w:val="00BD4993"/>
    <w:rsid w:val="00BD5881"/>
    <w:rsid w:val="00BD637D"/>
    <w:rsid w:val="00BD66E3"/>
    <w:rsid w:val="00BD7124"/>
    <w:rsid w:val="00BD7B7D"/>
    <w:rsid w:val="00BD7F13"/>
    <w:rsid w:val="00BE073C"/>
    <w:rsid w:val="00BE087B"/>
    <w:rsid w:val="00BE0B38"/>
    <w:rsid w:val="00BE13C0"/>
    <w:rsid w:val="00BE1988"/>
    <w:rsid w:val="00BE328B"/>
    <w:rsid w:val="00BE3E5B"/>
    <w:rsid w:val="00BE3F15"/>
    <w:rsid w:val="00BE4037"/>
    <w:rsid w:val="00BE4A87"/>
    <w:rsid w:val="00BE4E2B"/>
    <w:rsid w:val="00BE4EB2"/>
    <w:rsid w:val="00BE5476"/>
    <w:rsid w:val="00BE5A1E"/>
    <w:rsid w:val="00BE5EA5"/>
    <w:rsid w:val="00BE6444"/>
    <w:rsid w:val="00BE64A1"/>
    <w:rsid w:val="00BE6734"/>
    <w:rsid w:val="00BE6A56"/>
    <w:rsid w:val="00BE6E1E"/>
    <w:rsid w:val="00BE7D96"/>
    <w:rsid w:val="00BF0122"/>
    <w:rsid w:val="00BF012D"/>
    <w:rsid w:val="00BF07ED"/>
    <w:rsid w:val="00BF0A2A"/>
    <w:rsid w:val="00BF1649"/>
    <w:rsid w:val="00BF1E71"/>
    <w:rsid w:val="00BF1F28"/>
    <w:rsid w:val="00BF23E3"/>
    <w:rsid w:val="00BF2D7B"/>
    <w:rsid w:val="00BF2DE7"/>
    <w:rsid w:val="00BF2FEC"/>
    <w:rsid w:val="00BF325C"/>
    <w:rsid w:val="00BF38BA"/>
    <w:rsid w:val="00BF3FAD"/>
    <w:rsid w:val="00BF4149"/>
    <w:rsid w:val="00BF4401"/>
    <w:rsid w:val="00BF4605"/>
    <w:rsid w:val="00BF632D"/>
    <w:rsid w:val="00BF6CBB"/>
    <w:rsid w:val="00BF70BA"/>
    <w:rsid w:val="00BF70C7"/>
    <w:rsid w:val="00BF74B6"/>
    <w:rsid w:val="00BF7859"/>
    <w:rsid w:val="00BF7A74"/>
    <w:rsid w:val="00C0124D"/>
    <w:rsid w:val="00C01C08"/>
    <w:rsid w:val="00C0210A"/>
    <w:rsid w:val="00C0260C"/>
    <w:rsid w:val="00C02934"/>
    <w:rsid w:val="00C02B42"/>
    <w:rsid w:val="00C03150"/>
    <w:rsid w:val="00C03358"/>
    <w:rsid w:val="00C03581"/>
    <w:rsid w:val="00C040B1"/>
    <w:rsid w:val="00C04422"/>
    <w:rsid w:val="00C04FC2"/>
    <w:rsid w:val="00C0528B"/>
    <w:rsid w:val="00C05618"/>
    <w:rsid w:val="00C059AD"/>
    <w:rsid w:val="00C05CC7"/>
    <w:rsid w:val="00C05F87"/>
    <w:rsid w:val="00C064D9"/>
    <w:rsid w:val="00C0665C"/>
    <w:rsid w:val="00C072E9"/>
    <w:rsid w:val="00C0773C"/>
    <w:rsid w:val="00C07985"/>
    <w:rsid w:val="00C1077C"/>
    <w:rsid w:val="00C10B76"/>
    <w:rsid w:val="00C10F37"/>
    <w:rsid w:val="00C10F92"/>
    <w:rsid w:val="00C1294D"/>
    <w:rsid w:val="00C12A2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204A7"/>
    <w:rsid w:val="00C20764"/>
    <w:rsid w:val="00C20B7C"/>
    <w:rsid w:val="00C21245"/>
    <w:rsid w:val="00C217F9"/>
    <w:rsid w:val="00C21C65"/>
    <w:rsid w:val="00C228F8"/>
    <w:rsid w:val="00C23C37"/>
    <w:rsid w:val="00C2412C"/>
    <w:rsid w:val="00C256BE"/>
    <w:rsid w:val="00C2599E"/>
    <w:rsid w:val="00C265FA"/>
    <w:rsid w:val="00C26AFF"/>
    <w:rsid w:val="00C270B2"/>
    <w:rsid w:val="00C276BE"/>
    <w:rsid w:val="00C27BA9"/>
    <w:rsid w:val="00C305A5"/>
    <w:rsid w:val="00C30B50"/>
    <w:rsid w:val="00C31C08"/>
    <w:rsid w:val="00C31FD2"/>
    <w:rsid w:val="00C327E3"/>
    <w:rsid w:val="00C32CA4"/>
    <w:rsid w:val="00C33174"/>
    <w:rsid w:val="00C33D17"/>
    <w:rsid w:val="00C33D1F"/>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44B3"/>
    <w:rsid w:val="00C445B3"/>
    <w:rsid w:val="00C4496F"/>
    <w:rsid w:val="00C4557E"/>
    <w:rsid w:val="00C45668"/>
    <w:rsid w:val="00C46405"/>
    <w:rsid w:val="00C46EA8"/>
    <w:rsid w:val="00C46F4D"/>
    <w:rsid w:val="00C47255"/>
    <w:rsid w:val="00C477FA"/>
    <w:rsid w:val="00C47D9E"/>
    <w:rsid w:val="00C50230"/>
    <w:rsid w:val="00C51B26"/>
    <w:rsid w:val="00C5254C"/>
    <w:rsid w:val="00C545D8"/>
    <w:rsid w:val="00C5467A"/>
    <w:rsid w:val="00C54C4D"/>
    <w:rsid w:val="00C552BF"/>
    <w:rsid w:val="00C55526"/>
    <w:rsid w:val="00C55A45"/>
    <w:rsid w:val="00C55AD4"/>
    <w:rsid w:val="00C55DCC"/>
    <w:rsid w:val="00C55E9B"/>
    <w:rsid w:val="00C56191"/>
    <w:rsid w:val="00C568FD"/>
    <w:rsid w:val="00C56BC3"/>
    <w:rsid w:val="00C56E9B"/>
    <w:rsid w:val="00C57815"/>
    <w:rsid w:val="00C578E0"/>
    <w:rsid w:val="00C6030F"/>
    <w:rsid w:val="00C6039F"/>
    <w:rsid w:val="00C6051A"/>
    <w:rsid w:val="00C6072B"/>
    <w:rsid w:val="00C60815"/>
    <w:rsid w:val="00C60CFD"/>
    <w:rsid w:val="00C61611"/>
    <w:rsid w:val="00C618D5"/>
    <w:rsid w:val="00C61F50"/>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70459"/>
    <w:rsid w:val="00C708FE"/>
    <w:rsid w:val="00C7176A"/>
    <w:rsid w:val="00C71D02"/>
    <w:rsid w:val="00C71E8D"/>
    <w:rsid w:val="00C7207C"/>
    <w:rsid w:val="00C737F3"/>
    <w:rsid w:val="00C7417C"/>
    <w:rsid w:val="00C74812"/>
    <w:rsid w:val="00C74B31"/>
    <w:rsid w:val="00C74CCA"/>
    <w:rsid w:val="00C74CE1"/>
    <w:rsid w:val="00C74ED8"/>
    <w:rsid w:val="00C74FAD"/>
    <w:rsid w:val="00C750F1"/>
    <w:rsid w:val="00C75340"/>
    <w:rsid w:val="00C7725C"/>
    <w:rsid w:val="00C777D5"/>
    <w:rsid w:val="00C77F3C"/>
    <w:rsid w:val="00C80170"/>
    <w:rsid w:val="00C81ABE"/>
    <w:rsid w:val="00C826AF"/>
    <w:rsid w:val="00C833E6"/>
    <w:rsid w:val="00C8399F"/>
    <w:rsid w:val="00C84649"/>
    <w:rsid w:val="00C84AD8"/>
    <w:rsid w:val="00C84D97"/>
    <w:rsid w:val="00C853A5"/>
    <w:rsid w:val="00C855B1"/>
    <w:rsid w:val="00C8683A"/>
    <w:rsid w:val="00C8717F"/>
    <w:rsid w:val="00C87446"/>
    <w:rsid w:val="00C87533"/>
    <w:rsid w:val="00C878BC"/>
    <w:rsid w:val="00C901B0"/>
    <w:rsid w:val="00C9022F"/>
    <w:rsid w:val="00C90EF8"/>
    <w:rsid w:val="00C91095"/>
    <w:rsid w:val="00C9151E"/>
    <w:rsid w:val="00C92A1F"/>
    <w:rsid w:val="00C92BE6"/>
    <w:rsid w:val="00C9370F"/>
    <w:rsid w:val="00C93A9F"/>
    <w:rsid w:val="00C94748"/>
    <w:rsid w:val="00C95B37"/>
    <w:rsid w:val="00C9625B"/>
    <w:rsid w:val="00C96792"/>
    <w:rsid w:val="00C976C1"/>
    <w:rsid w:val="00C97A0D"/>
    <w:rsid w:val="00CA01E2"/>
    <w:rsid w:val="00CA0961"/>
    <w:rsid w:val="00CA1332"/>
    <w:rsid w:val="00CA16B2"/>
    <w:rsid w:val="00CA1DEE"/>
    <w:rsid w:val="00CA1EF2"/>
    <w:rsid w:val="00CA20BE"/>
    <w:rsid w:val="00CA2336"/>
    <w:rsid w:val="00CA2738"/>
    <w:rsid w:val="00CA2CC9"/>
    <w:rsid w:val="00CA3154"/>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A29"/>
    <w:rsid w:val="00CA742A"/>
    <w:rsid w:val="00CA7FCE"/>
    <w:rsid w:val="00CB0293"/>
    <w:rsid w:val="00CB05C2"/>
    <w:rsid w:val="00CB13FD"/>
    <w:rsid w:val="00CB1C8A"/>
    <w:rsid w:val="00CB21B9"/>
    <w:rsid w:val="00CB28CF"/>
    <w:rsid w:val="00CB2A99"/>
    <w:rsid w:val="00CB40D6"/>
    <w:rsid w:val="00CB4603"/>
    <w:rsid w:val="00CB491A"/>
    <w:rsid w:val="00CB4D82"/>
    <w:rsid w:val="00CB59CC"/>
    <w:rsid w:val="00CB5B29"/>
    <w:rsid w:val="00CB667C"/>
    <w:rsid w:val="00CB6BB6"/>
    <w:rsid w:val="00CB6F0A"/>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DDB"/>
    <w:rsid w:val="00CD03A4"/>
    <w:rsid w:val="00CD0AA8"/>
    <w:rsid w:val="00CD1873"/>
    <w:rsid w:val="00CD199D"/>
    <w:rsid w:val="00CD1E81"/>
    <w:rsid w:val="00CD2357"/>
    <w:rsid w:val="00CD2BBF"/>
    <w:rsid w:val="00CD2D77"/>
    <w:rsid w:val="00CD44BA"/>
    <w:rsid w:val="00CD4DB2"/>
    <w:rsid w:val="00CD5FF0"/>
    <w:rsid w:val="00CD6077"/>
    <w:rsid w:val="00CD6080"/>
    <w:rsid w:val="00CD6240"/>
    <w:rsid w:val="00CD679D"/>
    <w:rsid w:val="00CD6C3B"/>
    <w:rsid w:val="00CD7B31"/>
    <w:rsid w:val="00CD7E26"/>
    <w:rsid w:val="00CE00BE"/>
    <w:rsid w:val="00CE0136"/>
    <w:rsid w:val="00CE04BC"/>
    <w:rsid w:val="00CE17BA"/>
    <w:rsid w:val="00CE269B"/>
    <w:rsid w:val="00CE301E"/>
    <w:rsid w:val="00CE34C2"/>
    <w:rsid w:val="00CE3FEB"/>
    <w:rsid w:val="00CE47B7"/>
    <w:rsid w:val="00CE4B16"/>
    <w:rsid w:val="00CE56E1"/>
    <w:rsid w:val="00CE5A81"/>
    <w:rsid w:val="00CE6552"/>
    <w:rsid w:val="00CE6C5C"/>
    <w:rsid w:val="00CE6E9B"/>
    <w:rsid w:val="00CE73FC"/>
    <w:rsid w:val="00CE77E6"/>
    <w:rsid w:val="00CE7D91"/>
    <w:rsid w:val="00CF018A"/>
    <w:rsid w:val="00CF0899"/>
    <w:rsid w:val="00CF18F9"/>
    <w:rsid w:val="00CF23E3"/>
    <w:rsid w:val="00CF2637"/>
    <w:rsid w:val="00CF28F5"/>
    <w:rsid w:val="00CF29BF"/>
    <w:rsid w:val="00CF2D3C"/>
    <w:rsid w:val="00CF2FF4"/>
    <w:rsid w:val="00CF3004"/>
    <w:rsid w:val="00CF30D1"/>
    <w:rsid w:val="00CF3365"/>
    <w:rsid w:val="00CF46E2"/>
    <w:rsid w:val="00CF4C48"/>
    <w:rsid w:val="00CF4C51"/>
    <w:rsid w:val="00CF5DF6"/>
    <w:rsid w:val="00CF7002"/>
    <w:rsid w:val="00CF7163"/>
    <w:rsid w:val="00CF7595"/>
    <w:rsid w:val="00CF7FC1"/>
    <w:rsid w:val="00CF7FE7"/>
    <w:rsid w:val="00D00A53"/>
    <w:rsid w:val="00D00C72"/>
    <w:rsid w:val="00D00FC0"/>
    <w:rsid w:val="00D01064"/>
    <w:rsid w:val="00D01551"/>
    <w:rsid w:val="00D02A81"/>
    <w:rsid w:val="00D031C6"/>
    <w:rsid w:val="00D03440"/>
    <w:rsid w:val="00D03D1C"/>
    <w:rsid w:val="00D040FA"/>
    <w:rsid w:val="00D04337"/>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944"/>
    <w:rsid w:val="00D1329B"/>
    <w:rsid w:val="00D13384"/>
    <w:rsid w:val="00D1430A"/>
    <w:rsid w:val="00D150FE"/>
    <w:rsid w:val="00D15902"/>
    <w:rsid w:val="00D17360"/>
    <w:rsid w:val="00D20978"/>
    <w:rsid w:val="00D20C43"/>
    <w:rsid w:val="00D20FD8"/>
    <w:rsid w:val="00D21209"/>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5062"/>
    <w:rsid w:val="00D45295"/>
    <w:rsid w:val="00D45ACF"/>
    <w:rsid w:val="00D45EB6"/>
    <w:rsid w:val="00D46BCD"/>
    <w:rsid w:val="00D476F2"/>
    <w:rsid w:val="00D47728"/>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5920"/>
    <w:rsid w:val="00D55D90"/>
    <w:rsid w:val="00D56B79"/>
    <w:rsid w:val="00D6170F"/>
    <w:rsid w:val="00D62225"/>
    <w:rsid w:val="00D6293E"/>
    <w:rsid w:val="00D631FE"/>
    <w:rsid w:val="00D642ED"/>
    <w:rsid w:val="00D64653"/>
    <w:rsid w:val="00D64C6B"/>
    <w:rsid w:val="00D65342"/>
    <w:rsid w:val="00D65BC4"/>
    <w:rsid w:val="00D66321"/>
    <w:rsid w:val="00D6678B"/>
    <w:rsid w:val="00D66C7A"/>
    <w:rsid w:val="00D704E5"/>
    <w:rsid w:val="00D7059F"/>
    <w:rsid w:val="00D70A64"/>
    <w:rsid w:val="00D71201"/>
    <w:rsid w:val="00D71359"/>
    <w:rsid w:val="00D72CCC"/>
    <w:rsid w:val="00D73705"/>
    <w:rsid w:val="00D73CC2"/>
    <w:rsid w:val="00D74BE4"/>
    <w:rsid w:val="00D7508E"/>
    <w:rsid w:val="00D75741"/>
    <w:rsid w:val="00D75922"/>
    <w:rsid w:val="00D75A2A"/>
    <w:rsid w:val="00D76CFE"/>
    <w:rsid w:val="00D76DD9"/>
    <w:rsid w:val="00D773D8"/>
    <w:rsid w:val="00D77BB1"/>
    <w:rsid w:val="00D80B10"/>
    <w:rsid w:val="00D819DB"/>
    <w:rsid w:val="00D8276A"/>
    <w:rsid w:val="00D829A0"/>
    <w:rsid w:val="00D83B75"/>
    <w:rsid w:val="00D83CFF"/>
    <w:rsid w:val="00D842D8"/>
    <w:rsid w:val="00D84945"/>
    <w:rsid w:val="00D849D1"/>
    <w:rsid w:val="00D84CF3"/>
    <w:rsid w:val="00D85D42"/>
    <w:rsid w:val="00D86272"/>
    <w:rsid w:val="00D86B3D"/>
    <w:rsid w:val="00D86E85"/>
    <w:rsid w:val="00D8749D"/>
    <w:rsid w:val="00D874B0"/>
    <w:rsid w:val="00D87ADF"/>
    <w:rsid w:val="00D87C7A"/>
    <w:rsid w:val="00D87CD6"/>
    <w:rsid w:val="00D90263"/>
    <w:rsid w:val="00D909C2"/>
    <w:rsid w:val="00D90E07"/>
    <w:rsid w:val="00D91086"/>
    <w:rsid w:val="00D91249"/>
    <w:rsid w:val="00D92179"/>
    <w:rsid w:val="00D924FD"/>
    <w:rsid w:val="00D929F0"/>
    <w:rsid w:val="00D933EE"/>
    <w:rsid w:val="00D935EC"/>
    <w:rsid w:val="00D9374B"/>
    <w:rsid w:val="00D94187"/>
    <w:rsid w:val="00D949AC"/>
    <w:rsid w:val="00D94F29"/>
    <w:rsid w:val="00D95E48"/>
    <w:rsid w:val="00D96259"/>
    <w:rsid w:val="00D9630C"/>
    <w:rsid w:val="00D96AD0"/>
    <w:rsid w:val="00D96AE1"/>
    <w:rsid w:val="00D9739F"/>
    <w:rsid w:val="00D9767D"/>
    <w:rsid w:val="00D97919"/>
    <w:rsid w:val="00D97E57"/>
    <w:rsid w:val="00DA041F"/>
    <w:rsid w:val="00DA083E"/>
    <w:rsid w:val="00DA0EED"/>
    <w:rsid w:val="00DA1206"/>
    <w:rsid w:val="00DA1422"/>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11EB"/>
    <w:rsid w:val="00DB141B"/>
    <w:rsid w:val="00DB1EE6"/>
    <w:rsid w:val="00DB1F65"/>
    <w:rsid w:val="00DB237A"/>
    <w:rsid w:val="00DB28F2"/>
    <w:rsid w:val="00DB2AD2"/>
    <w:rsid w:val="00DB2D08"/>
    <w:rsid w:val="00DB42C1"/>
    <w:rsid w:val="00DB47AC"/>
    <w:rsid w:val="00DB4BBC"/>
    <w:rsid w:val="00DB4CC5"/>
    <w:rsid w:val="00DB5917"/>
    <w:rsid w:val="00DB5DAC"/>
    <w:rsid w:val="00DB6603"/>
    <w:rsid w:val="00DB69A0"/>
    <w:rsid w:val="00DB6D3E"/>
    <w:rsid w:val="00DB6D48"/>
    <w:rsid w:val="00DB726D"/>
    <w:rsid w:val="00DB7A4A"/>
    <w:rsid w:val="00DC221E"/>
    <w:rsid w:val="00DC296E"/>
    <w:rsid w:val="00DC2D9F"/>
    <w:rsid w:val="00DC32AA"/>
    <w:rsid w:val="00DC337F"/>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1155"/>
    <w:rsid w:val="00DD1333"/>
    <w:rsid w:val="00DD1A71"/>
    <w:rsid w:val="00DD2378"/>
    <w:rsid w:val="00DD2B55"/>
    <w:rsid w:val="00DD2B63"/>
    <w:rsid w:val="00DD2ED3"/>
    <w:rsid w:val="00DD380E"/>
    <w:rsid w:val="00DD40CC"/>
    <w:rsid w:val="00DD4C70"/>
    <w:rsid w:val="00DD526F"/>
    <w:rsid w:val="00DD642A"/>
    <w:rsid w:val="00DD68AE"/>
    <w:rsid w:val="00DD6A18"/>
    <w:rsid w:val="00DD6BAD"/>
    <w:rsid w:val="00DD6DB6"/>
    <w:rsid w:val="00DD72C5"/>
    <w:rsid w:val="00DD7399"/>
    <w:rsid w:val="00DD78AC"/>
    <w:rsid w:val="00DD7B10"/>
    <w:rsid w:val="00DE095C"/>
    <w:rsid w:val="00DE09A7"/>
    <w:rsid w:val="00DE0B56"/>
    <w:rsid w:val="00DE0BAD"/>
    <w:rsid w:val="00DE0FE8"/>
    <w:rsid w:val="00DE1D24"/>
    <w:rsid w:val="00DE2902"/>
    <w:rsid w:val="00DE2E32"/>
    <w:rsid w:val="00DE31AD"/>
    <w:rsid w:val="00DE3971"/>
    <w:rsid w:val="00DE3B4E"/>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D10"/>
    <w:rsid w:val="00DF1D5B"/>
    <w:rsid w:val="00DF22A0"/>
    <w:rsid w:val="00DF22AA"/>
    <w:rsid w:val="00DF2766"/>
    <w:rsid w:val="00DF41EF"/>
    <w:rsid w:val="00DF431A"/>
    <w:rsid w:val="00DF4F7B"/>
    <w:rsid w:val="00DF5383"/>
    <w:rsid w:val="00DF544E"/>
    <w:rsid w:val="00DF5577"/>
    <w:rsid w:val="00DF609C"/>
    <w:rsid w:val="00DF6B9A"/>
    <w:rsid w:val="00DF791F"/>
    <w:rsid w:val="00DF7C5A"/>
    <w:rsid w:val="00DF7C9B"/>
    <w:rsid w:val="00E00561"/>
    <w:rsid w:val="00E008D8"/>
    <w:rsid w:val="00E00A07"/>
    <w:rsid w:val="00E00B6A"/>
    <w:rsid w:val="00E01782"/>
    <w:rsid w:val="00E01BEB"/>
    <w:rsid w:val="00E01D2B"/>
    <w:rsid w:val="00E0259F"/>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35DC"/>
    <w:rsid w:val="00E13C1A"/>
    <w:rsid w:val="00E1411A"/>
    <w:rsid w:val="00E14C2C"/>
    <w:rsid w:val="00E16B50"/>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454"/>
    <w:rsid w:val="00E25E6F"/>
    <w:rsid w:val="00E2665E"/>
    <w:rsid w:val="00E26AA3"/>
    <w:rsid w:val="00E26CCF"/>
    <w:rsid w:val="00E27DF3"/>
    <w:rsid w:val="00E308E4"/>
    <w:rsid w:val="00E31CFA"/>
    <w:rsid w:val="00E31E08"/>
    <w:rsid w:val="00E31E87"/>
    <w:rsid w:val="00E31F7C"/>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2D8"/>
    <w:rsid w:val="00E447D3"/>
    <w:rsid w:val="00E44A18"/>
    <w:rsid w:val="00E45383"/>
    <w:rsid w:val="00E455E2"/>
    <w:rsid w:val="00E45F35"/>
    <w:rsid w:val="00E46BBE"/>
    <w:rsid w:val="00E4734A"/>
    <w:rsid w:val="00E47923"/>
    <w:rsid w:val="00E47BCB"/>
    <w:rsid w:val="00E50545"/>
    <w:rsid w:val="00E5084E"/>
    <w:rsid w:val="00E50BC9"/>
    <w:rsid w:val="00E5103B"/>
    <w:rsid w:val="00E51F33"/>
    <w:rsid w:val="00E52032"/>
    <w:rsid w:val="00E533C0"/>
    <w:rsid w:val="00E538ED"/>
    <w:rsid w:val="00E5394F"/>
    <w:rsid w:val="00E53FED"/>
    <w:rsid w:val="00E5526B"/>
    <w:rsid w:val="00E55A2F"/>
    <w:rsid w:val="00E55ACE"/>
    <w:rsid w:val="00E55C38"/>
    <w:rsid w:val="00E56C27"/>
    <w:rsid w:val="00E572B1"/>
    <w:rsid w:val="00E575D3"/>
    <w:rsid w:val="00E57ECE"/>
    <w:rsid w:val="00E60279"/>
    <w:rsid w:val="00E613DB"/>
    <w:rsid w:val="00E61650"/>
    <w:rsid w:val="00E622A5"/>
    <w:rsid w:val="00E6343D"/>
    <w:rsid w:val="00E65525"/>
    <w:rsid w:val="00E65A60"/>
    <w:rsid w:val="00E65E97"/>
    <w:rsid w:val="00E66009"/>
    <w:rsid w:val="00E66084"/>
    <w:rsid w:val="00E665C7"/>
    <w:rsid w:val="00E665CA"/>
    <w:rsid w:val="00E66819"/>
    <w:rsid w:val="00E67640"/>
    <w:rsid w:val="00E67987"/>
    <w:rsid w:val="00E705BD"/>
    <w:rsid w:val="00E70644"/>
    <w:rsid w:val="00E70656"/>
    <w:rsid w:val="00E70DF8"/>
    <w:rsid w:val="00E716A5"/>
    <w:rsid w:val="00E717DB"/>
    <w:rsid w:val="00E71DC9"/>
    <w:rsid w:val="00E71F54"/>
    <w:rsid w:val="00E72207"/>
    <w:rsid w:val="00E722D9"/>
    <w:rsid w:val="00E73118"/>
    <w:rsid w:val="00E733C3"/>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6852"/>
    <w:rsid w:val="00E87279"/>
    <w:rsid w:val="00E8739A"/>
    <w:rsid w:val="00E900CE"/>
    <w:rsid w:val="00E90488"/>
    <w:rsid w:val="00E907BE"/>
    <w:rsid w:val="00E911B7"/>
    <w:rsid w:val="00E91EAE"/>
    <w:rsid w:val="00E92482"/>
    <w:rsid w:val="00E92A2D"/>
    <w:rsid w:val="00E9383A"/>
    <w:rsid w:val="00E93C7D"/>
    <w:rsid w:val="00E94B31"/>
    <w:rsid w:val="00E94DCA"/>
    <w:rsid w:val="00E955BD"/>
    <w:rsid w:val="00E95A9F"/>
    <w:rsid w:val="00E95B5E"/>
    <w:rsid w:val="00E965EE"/>
    <w:rsid w:val="00E96E4C"/>
    <w:rsid w:val="00E97529"/>
    <w:rsid w:val="00E97F4A"/>
    <w:rsid w:val="00E97FC0"/>
    <w:rsid w:val="00EA002F"/>
    <w:rsid w:val="00EA04FB"/>
    <w:rsid w:val="00EA09BF"/>
    <w:rsid w:val="00EA09DD"/>
    <w:rsid w:val="00EA0BE8"/>
    <w:rsid w:val="00EA0C99"/>
    <w:rsid w:val="00EA100E"/>
    <w:rsid w:val="00EA11E6"/>
    <w:rsid w:val="00EA1587"/>
    <w:rsid w:val="00EA216D"/>
    <w:rsid w:val="00EA27CC"/>
    <w:rsid w:val="00EA2BE7"/>
    <w:rsid w:val="00EA37F5"/>
    <w:rsid w:val="00EA3957"/>
    <w:rsid w:val="00EA3C65"/>
    <w:rsid w:val="00EA3D40"/>
    <w:rsid w:val="00EA3EB9"/>
    <w:rsid w:val="00EA3ED8"/>
    <w:rsid w:val="00EA4707"/>
    <w:rsid w:val="00EA4CB8"/>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D0B"/>
    <w:rsid w:val="00EB1B63"/>
    <w:rsid w:val="00EB1F4F"/>
    <w:rsid w:val="00EB29DB"/>
    <w:rsid w:val="00EB3907"/>
    <w:rsid w:val="00EB40FB"/>
    <w:rsid w:val="00EB4BBD"/>
    <w:rsid w:val="00EB4DB8"/>
    <w:rsid w:val="00EB5640"/>
    <w:rsid w:val="00EB58C6"/>
    <w:rsid w:val="00EB5BB5"/>
    <w:rsid w:val="00EB60EC"/>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F60"/>
    <w:rsid w:val="00EC4BDB"/>
    <w:rsid w:val="00EC4C51"/>
    <w:rsid w:val="00EC5388"/>
    <w:rsid w:val="00EC5498"/>
    <w:rsid w:val="00EC593D"/>
    <w:rsid w:val="00EC5C2A"/>
    <w:rsid w:val="00EC5C98"/>
    <w:rsid w:val="00EC6FBF"/>
    <w:rsid w:val="00EC7816"/>
    <w:rsid w:val="00EC795A"/>
    <w:rsid w:val="00EC7CEF"/>
    <w:rsid w:val="00ED03C8"/>
    <w:rsid w:val="00ED1B50"/>
    <w:rsid w:val="00ED1D79"/>
    <w:rsid w:val="00ED2B17"/>
    <w:rsid w:val="00ED34A9"/>
    <w:rsid w:val="00ED34C0"/>
    <w:rsid w:val="00ED39F8"/>
    <w:rsid w:val="00ED3C74"/>
    <w:rsid w:val="00ED3F2B"/>
    <w:rsid w:val="00ED4A35"/>
    <w:rsid w:val="00ED53FB"/>
    <w:rsid w:val="00ED6066"/>
    <w:rsid w:val="00ED682D"/>
    <w:rsid w:val="00ED6B25"/>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2628"/>
    <w:rsid w:val="00EF2BCB"/>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652"/>
    <w:rsid w:val="00EF7817"/>
    <w:rsid w:val="00F00653"/>
    <w:rsid w:val="00F00A2A"/>
    <w:rsid w:val="00F01B47"/>
    <w:rsid w:val="00F01E96"/>
    <w:rsid w:val="00F01EF9"/>
    <w:rsid w:val="00F0254C"/>
    <w:rsid w:val="00F02928"/>
    <w:rsid w:val="00F02967"/>
    <w:rsid w:val="00F02E65"/>
    <w:rsid w:val="00F02F62"/>
    <w:rsid w:val="00F03AC4"/>
    <w:rsid w:val="00F0558E"/>
    <w:rsid w:val="00F06354"/>
    <w:rsid w:val="00F066DC"/>
    <w:rsid w:val="00F06929"/>
    <w:rsid w:val="00F0699D"/>
    <w:rsid w:val="00F06C6E"/>
    <w:rsid w:val="00F06DA9"/>
    <w:rsid w:val="00F0718F"/>
    <w:rsid w:val="00F07C32"/>
    <w:rsid w:val="00F07C82"/>
    <w:rsid w:val="00F1017E"/>
    <w:rsid w:val="00F10255"/>
    <w:rsid w:val="00F10AB1"/>
    <w:rsid w:val="00F10BB5"/>
    <w:rsid w:val="00F114A1"/>
    <w:rsid w:val="00F11C12"/>
    <w:rsid w:val="00F11D35"/>
    <w:rsid w:val="00F11DA6"/>
    <w:rsid w:val="00F11DD8"/>
    <w:rsid w:val="00F11FEB"/>
    <w:rsid w:val="00F121A3"/>
    <w:rsid w:val="00F12286"/>
    <w:rsid w:val="00F1322F"/>
    <w:rsid w:val="00F13278"/>
    <w:rsid w:val="00F13F3C"/>
    <w:rsid w:val="00F13FF9"/>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10F2"/>
    <w:rsid w:val="00F21491"/>
    <w:rsid w:val="00F2248B"/>
    <w:rsid w:val="00F229E5"/>
    <w:rsid w:val="00F22CB9"/>
    <w:rsid w:val="00F2306B"/>
    <w:rsid w:val="00F2335A"/>
    <w:rsid w:val="00F237B0"/>
    <w:rsid w:val="00F24C7A"/>
    <w:rsid w:val="00F24FC5"/>
    <w:rsid w:val="00F254B8"/>
    <w:rsid w:val="00F25EBB"/>
    <w:rsid w:val="00F26474"/>
    <w:rsid w:val="00F2676F"/>
    <w:rsid w:val="00F278B1"/>
    <w:rsid w:val="00F27E5C"/>
    <w:rsid w:val="00F27F2E"/>
    <w:rsid w:val="00F27F58"/>
    <w:rsid w:val="00F30830"/>
    <w:rsid w:val="00F30AAA"/>
    <w:rsid w:val="00F310A0"/>
    <w:rsid w:val="00F316B4"/>
    <w:rsid w:val="00F32302"/>
    <w:rsid w:val="00F33BC6"/>
    <w:rsid w:val="00F34603"/>
    <w:rsid w:val="00F34C2B"/>
    <w:rsid w:val="00F34F0B"/>
    <w:rsid w:val="00F34FD0"/>
    <w:rsid w:val="00F35307"/>
    <w:rsid w:val="00F35321"/>
    <w:rsid w:val="00F35371"/>
    <w:rsid w:val="00F358AC"/>
    <w:rsid w:val="00F36504"/>
    <w:rsid w:val="00F40C74"/>
    <w:rsid w:val="00F41178"/>
    <w:rsid w:val="00F41875"/>
    <w:rsid w:val="00F41F27"/>
    <w:rsid w:val="00F41F62"/>
    <w:rsid w:val="00F42952"/>
    <w:rsid w:val="00F433F7"/>
    <w:rsid w:val="00F435FD"/>
    <w:rsid w:val="00F43A68"/>
    <w:rsid w:val="00F4411F"/>
    <w:rsid w:val="00F44E20"/>
    <w:rsid w:val="00F44F89"/>
    <w:rsid w:val="00F45144"/>
    <w:rsid w:val="00F45806"/>
    <w:rsid w:val="00F45BDA"/>
    <w:rsid w:val="00F45F3F"/>
    <w:rsid w:val="00F463AA"/>
    <w:rsid w:val="00F47300"/>
    <w:rsid w:val="00F4774D"/>
    <w:rsid w:val="00F4777D"/>
    <w:rsid w:val="00F5054B"/>
    <w:rsid w:val="00F5089A"/>
    <w:rsid w:val="00F51BE5"/>
    <w:rsid w:val="00F538F2"/>
    <w:rsid w:val="00F5410A"/>
    <w:rsid w:val="00F54938"/>
    <w:rsid w:val="00F54DFD"/>
    <w:rsid w:val="00F550E2"/>
    <w:rsid w:val="00F55FD7"/>
    <w:rsid w:val="00F5620C"/>
    <w:rsid w:val="00F56513"/>
    <w:rsid w:val="00F5681B"/>
    <w:rsid w:val="00F56C40"/>
    <w:rsid w:val="00F572B5"/>
    <w:rsid w:val="00F5748E"/>
    <w:rsid w:val="00F576F7"/>
    <w:rsid w:val="00F60038"/>
    <w:rsid w:val="00F602E1"/>
    <w:rsid w:val="00F608F2"/>
    <w:rsid w:val="00F60EFC"/>
    <w:rsid w:val="00F6165E"/>
    <w:rsid w:val="00F6213A"/>
    <w:rsid w:val="00F62292"/>
    <w:rsid w:val="00F62387"/>
    <w:rsid w:val="00F6246B"/>
    <w:rsid w:val="00F63275"/>
    <w:rsid w:val="00F63401"/>
    <w:rsid w:val="00F63E12"/>
    <w:rsid w:val="00F642F2"/>
    <w:rsid w:val="00F64F56"/>
    <w:rsid w:val="00F651CD"/>
    <w:rsid w:val="00F659B0"/>
    <w:rsid w:val="00F65A07"/>
    <w:rsid w:val="00F65BCE"/>
    <w:rsid w:val="00F662AB"/>
    <w:rsid w:val="00F66470"/>
    <w:rsid w:val="00F670ED"/>
    <w:rsid w:val="00F67A04"/>
    <w:rsid w:val="00F70840"/>
    <w:rsid w:val="00F7119D"/>
    <w:rsid w:val="00F713F0"/>
    <w:rsid w:val="00F7150C"/>
    <w:rsid w:val="00F7192F"/>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3EE3"/>
    <w:rsid w:val="00F84A33"/>
    <w:rsid w:val="00F85309"/>
    <w:rsid w:val="00F8595D"/>
    <w:rsid w:val="00F85A01"/>
    <w:rsid w:val="00F85BD5"/>
    <w:rsid w:val="00F85DDA"/>
    <w:rsid w:val="00F864B6"/>
    <w:rsid w:val="00F86A2B"/>
    <w:rsid w:val="00F86CC8"/>
    <w:rsid w:val="00F86DFA"/>
    <w:rsid w:val="00F87512"/>
    <w:rsid w:val="00F877F0"/>
    <w:rsid w:val="00F909D6"/>
    <w:rsid w:val="00F921F2"/>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F85"/>
    <w:rsid w:val="00FA02AF"/>
    <w:rsid w:val="00FA03AA"/>
    <w:rsid w:val="00FA04BB"/>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3D8"/>
    <w:rsid w:val="00FB3771"/>
    <w:rsid w:val="00FB38DD"/>
    <w:rsid w:val="00FB4048"/>
    <w:rsid w:val="00FB533A"/>
    <w:rsid w:val="00FB5549"/>
    <w:rsid w:val="00FB5D5F"/>
    <w:rsid w:val="00FB72DE"/>
    <w:rsid w:val="00FB7AA3"/>
    <w:rsid w:val="00FB7D1E"/>
    <w:rsid w:val="00FB7D4B"/>
    <w:rsid w:val="00FC06C2"/>
    <w:rsid w:val="00FC0D0A"/>
    <w:rsid w:val="00FC0E93"/>
    <w:rsid w:val="00FC0FC1"/>
    <w:rsid w:val="00FC110F"/>
    <w:rsid w:val="00FC1976"/>
    <w:rsid w:val="00FC1A2D"/>
    <w:rsid w:val="00FC21D9"/>
    <w:rsid w:val="00FC25FC"/>
    <w:rsid w:val="00FC275A"/>
    <w:rsid w:val="00FC2858"/>
    <w:rsid w:val="00FC2EC9"/>
    <w:rsid w:val="00FC31BD"/>
    <w:rsid w:val="00FC33FD"/>
    <w:rsid w:val="00FC41B7"/>
    <w:rsid w:val="00FC4322"/>
    <w:rsid w:val="00FC4C02"/>
    <w:rsid w:val="00FC4DC2"/>
    <w:rsid w:val="00FC5128"/>
    <w:rsid w:val="00FC5A9D"/>
    <w:rsid w:val="00FC68F8"/>
    <w:rsid w:val="00FC723A"/>
    <w:rsid w:val="00FD00B0"/>
    <w:rsid w:val="00FD0603"/>
    <w:rsid w:val="00FD0CF4"/>
    <w:rsid w:val="00FD1AB7"/>
    <w:rsid w:val="00FD1F0E"/>
    <w:rsid w:val="00FD2207"/>
    <w:rsid w:val="00FD2560"/>
    <w:rsid w:val="00FD2701"/>
    <w:rsid w:val="00FD278C"/>
    <w:rsid w:val="00FD2BDF"/>
    <w:rsid w:val="00FD3EF2"/>
    <w:rsid w:val="00FD5B36"/>
    <w:rsid w:val="00FD60E9"/>
    <w:rsid w:val="00FD6620"/>
    <w:rsid w:val="00FD74A7"/>
    <w:rsid w:val="00FD7BC6"/>
    <w:rsid w:val="00FD7D7C"/>
    <w:rsid w:val="00FE024C"/>
    <w:rsid w:val="00FE07E4"/>
    <w:rsid w:val="00FE0EAA"/>
    <w:rsid w:val="00FE156B"/>
    <w:rsid w:val="00FE2536"/>
    <w:rsid w:val="00FE2865"/>
    <w:rsid w:val="00FE343F"/>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FCD"/>
    <w:rsid w:val="00FF209C"/>
    <w:rsid w:val="00FF2166"/>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9453B1C4-8DA8-4738-A711-DEEE69A46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40"/>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4"/>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102"/>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102"/>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102"/>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102"/>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rsid w:val="004206D2"/>
    <w:pPr>
      <w:numPr>
        <w:ilvl w:val="4"/>
        <w:numId w:val="102"/>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rsid w:val="004206D2"/>
    <w:pPr>
      <w:numPr>
        <w:ilvl w:val="5"/>
      </w:numPr>
      <w:tabs>
        <w:tab w:val="clear" w:pos="3600"/>
      </w:tabs>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partnerskadohoda.gov.sk" TargetMode="External"/><Relationship Id="rId25" Type="http://schemas.openxmlformats.org/officeDocument/2006/relationships/hyperlink" Target="http://www.minv.sk/?usmernenia-riadiaceho-organu" TargetMode="Externa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opevs.e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89AFD-139F-4F9A-995D-553CFEAE33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968B888-AF46-4209-AC0C-A06AEC02D859}">
  <ds:schemaRefs>
    <ds:schemaRef ds:uri="http://schemas.microsoft.com/sharepoint/v3/contenttype/forms"/>
  </ds:schemaRefs>
</ds:datastoreItem>
</file>

<file path=customXml/itemProps3.xml><?xml version="1.0" encoding="utf-8"?>
<ds:datastoreItem xmlns:ds="http://schemas.openxmlformats.org/officeDocument/2006/customXml" ds:itemID="{B3CF51FA-15D2-449C-9CCC-BB95CBF0A4D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63FAEA7-4EF8-45ED-93BE-80989EB66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1637</TotalTime>
  <Pages>1</Pages>
  <Words>66930</Words>
  <Characters>381506</Characters>
  <Application>Microsoft Office Word</Application>
  <DocSecurity>0</DocSecurity>
  <Lines>3179</Lines>
  <Paragraphs>895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447541</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Martina Orolínová</dc:creator>
  <cp:lastModifiedBy>Zuzana Hušeková</cp:lastModifiedBy>
  <cp:revision>119</cp:revision>
  <cp:lastPrinted>2016-01-14T08:18:00Z</cp:lastPrinted>
  <dcterms:created xsi:type="dcterms:W3CDTF">2016-08-11T05:29:00Z</dcterms:created>
  <dcterms:modified xsi:type="dcterms:W3CDTF">2016-11-02T13:12:00Z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